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spacing w:line="600" w:lineRule="exact"/>
        <w:rPr>
          <w:rFonts w:ascii="黑体" w:hAnsi="黑体" w:eastAsia="黑体" w:cs="黑体"/>
          <w:color w:val="000000" w:themeColor="text1"/>
          <w:sz w:val="32"/>
          <w:szCs w:val="32"/>
          <w14:textFill>
            <w14:solidFill>
              <w14:schemeClr w14:val="tx1"/>
            </w14:solidFill>
          </w14:textFill>
        </w:rPr>
      </w:pPr>
    </w:p>
    <w:p>
      <w:pPr>
        <w:spacing w:after="312" w:afterLines="100"/>
        <w:jc w:val="center"/>
        <w:rPr>
          <w:rFonts w:asciiTheme="majorEastAsia" w:hAnsiTheme="majorEastAsia" w:eastAsiaTheme="majorEastAsia" w:cstheme="majorEastAsia"/>
          <w:bCs/>
          <w:color w:val="000000" w:themeColor="text1"/>
          <w:sz w:val="36"/>
          <w:szCs w:val="36"/>
          <w14:textFill>
            <w14:solidFill>
              <w14:schemeClr w14:val="tx1"/>
            </w14:solidFill>
          </w14:textFill>
        </w:rPr>
      </w:pPr>
      <w:r>
        <w:rPr>
          <w:rFonts w:hint="eastAsia" w:ascii="黑体" w:hAnsi="黑体" w:eastAsia="黑体" w:cstheme="majorEastAsia"/>
          <w:bCs/>
          <w:sz w:val="44"/>
          <w:szCs w:val="44"/>
        </w:rPr>
        <w:t>全国排球高水平后备人才基地认定评分标准</w:t>
      </w:r>
    </w:p>
    <w:p>
      <w:pPr>
        <w:numPr>
          <w:ilvl w:val="0"/>
          <w:numId w:val="1"/>
        </w:numPr>
        <w:ind w:left="-2" w:leftChars="-1" w:firstLine="1"/>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基础设施</w:t>
      </w:r>
    </w:p>
    <w:p>
      <w:pPr>
        <w:numPr>
          <w:numId w:val="0"/>
        </w:numPr>
        <w:ind w:leftChars="-1"/>
        <w:rPr>
          <w:rFonts w:hint="eastAsia" w:ascii="宋体" w:hAnsi="宋体"/>
          <w:b/>
          <w:color w:val="000000" w:themeColor="text1"/>
          <w:sz w:val="24"/>
          <w14:textFill>
            <w14:solidFill>
              <w14:schemeClr w14:val="tx1"/>
            </w14:solidFill>
          </w14:textFill>
        </w:rPr>
      </w:pPr>
    </w:p>
    <w:tbl>
      <w:tblPr>
        <w:tblStyle w:val="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
        <w:gridCol w:w="737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70" w:hRule="atLeast"/>
        </w:trPr>
        <w:tc>
          <w:tcPr>
            <w:tcW w:w="993" w:type="dxa"/>
            <w:shd w:val="clear" w:color="auto" w:fill="FFFFFF" w:themeFill="background1"/>
          </w:tcPr>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w:t>
            </w:r>
            <w:r>
              <w:rPr>
                <w:rFonts w:ascii="宋体" w:hAnsi="宋体" w:cs="宋体"/>
                <w:b/>
                <w:bCs/>
                <w:color w:val="000000" w:themeColor="text1"/>
                <w:kern w:val="0"/>
                <w:sz w:val="24"/>
                <w14:textFill>
                  <w14:solidFill>
                    <w14:schemeClr w14:val="tx1"/>
                  </w14:solidFill>
                </w14:textFill>
              </w:rPr>
              <w:t>与</w:t>
            </w:r>
            <w:r>
              <w:rPr>
                <w:rFonts w:hint="eastAsia" w:ascii="宋体" w:hAnsi="宋体" w:cs="宋体"/>
                <w:b/>
                <w:bCs/>
                <w:color w:val="000000" w:themeColor="text1"/>
                <w:kern w:val="0"/>
                <w:sz w:val="24"/>
                <w14:textFill>
                  <w14:solidFill>
                    <w14:schemeClr w14:val="tx1"/>
                  </w14:solidFill>
                </w14:textFill>
              </w:rPr>
              <w:t>权 重</w:t>
            </w:r>
          </w:p>
        </w:tc>
        <w:tc>
          <w:tcPr>
            <w:tcW w:w="7371" w:type="dxa"/>
            <w:shd w:val="clear" w:color="auto" w:fill="FFFFFF" w:themeFill="background1"/>
            <w:vAlign w:val="center"/>
          </w:tcPr>
          <w:p>
            <w:pPr>
              <w:spacing w:line="48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c>
          <w:tcPr>
            <w:tcW w:w="850" w:type="dxa"/>
            <w:shd w:val="clear" w:color="auto" w:fill="FFFFFF" w:themeFill="background1"/>
            <w:vAlign w:val="center"/>
          </w:tcPr>
          <w:p>
            <w:pPr>
              <w:spacing w:line="480" w:lineRule="auto"/>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58" w:hRule="atLeast"/>
        </w:trPr>
        <w:tc>
          <w:tcPr>
            <w:tcW w:w="993" w:type="dxa"/>
            <w:vMerge w:val="restart"/>
            <w:shd w:val="clear" w:color="auto" w:fill="FFFFFF" w:themeFill="background1"/>
            <w:vAlign w:val="center"/>
          </w:tcPr>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设施及设备</w:t>
            </w:r>
          </w:p>
          <w:p>
            <w:pPr>
              <w:spacing w:line="360" w:lineRule="auto"/>
              <w:ind w:left="33"/>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w:t>
            </w:r>
          </w:p>
        </w:tc>
        <w:tc>
          <w:tcPr>
            <w:tcW w:w="7371" w:type="dxa"/>
            <w:shd w:val="clear" w:color="auto" w:fill="FFFFFF" w:themeFill="background1"/>
            <w:vAlign w:val="center"/>
          </w:tcPr>
          <w:p>
            <w:pPr>
              <w:pStyle w:val="14"/>
              <w:widowControl/>
              <w:numPr>
                <w:ilvl w:val="0"/>
                <w:numId w:val="2"/>
              </w:numPr>
              <w:ind w:firstLineChars="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有至少1块室内排球训练场，可供全天候训练，铺设塑胶地板，有空调或通风设备、采光、照明条件好。</w:t>
            </w:r>
          </w:p>
          <w:p>
            <w:pPr>
              <w:widowControl/>
              <w:numPr>
                <w:ilvl w:val="0"/>
                <w:numId w:val="2"/>
              </w:num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有1座400m田径场，身体训练馆（房）使用面积200平方米以上。</w:t>
            </w:r>
          </w:p>
          <w:p>
            <w:pPr>
              <w:numPr>
                <w:ilvl w:val="0"/>
                <w:numId w:val="2"/>
              </w:num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训练器材齐全、功能完整、设备先进，较好地满足日常训练需要。</w:t>
            </w:r>
          </w:p>
        </w:tc>
        <w:tc>
          <w:tcPr>
            <w:tcW w:w="850"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1268" w:hRule="atLeast"/>
        </w:trPr>
        <w:tc>
          <w:tcPr>
            <w:tcW w:w="993" w:type="dxa"/>
            <w:vMerge w:val="continue"/>
            <w:shd w:val="clear" w:color="auto" w:fill="FFFFFF" w:themeFill="background1"/>
          </w:tcPr>
          <w:p>
            <w:pPr>
              <w:widowControl/>
              <w:numPr>
                <w:ilvl w:val="0"/>
                <w:numId w:val="2"/>
              </w:numPr>
              <w:rPr>
                <w:rFonts w:ascii="宋体" w:hAnsi="宋体" w:cs="宋体"/>
                <w:color w:val="000000" w:themeColor="text1"/>
                <w:kern w:val="0"/>
                <w:sz w:val="24"/>
                <w14:textFill>
                  <w14:solidFill>
                    <w14:schemeClr w14:val="tx1"/>
                  </w14:solidFill>
                </w14:textFill>
              </w:rPr>
            </w:pPr>
          </w:p>
        </w:tc>
        <w:tc>
          <w:tcPr>
            <w:tcW w:w="7371" w:type="dxa"/>
            <w:shd w:val="clear" w:color="auto" w:fill="FFFFFF" w:themeFill="background1"/>
            <w:vAlign w:val="center"/>
          </w:tcPr>
          <w:p>
            <w:pPr>
              <w:pStyle w:val="14"/>
              <w:widowControl/>
              <w:numPr>
                <w:ilvl w:val="0"/>
                <w:numId w:val="3"/>
              </w:numPr>
              <w:ind w:firstLineChars="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有至少1块以上室内排球训练场，可供全天候训练。铺设木地板或塑胶地板，有通风设备、采光、照明条件好。</w:t>
            </w:r>
          </w:p>
          <w:p>
            <w:pPr>
              <w:widowControl/>
              <w:numPr>
                <w:ilvl w:val="0"/>
                <w:numId w:val="3"/>
              </w:num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有1座200m田径场，身体训练馆（房）使用面积120平方米以上。</w:t>
            </w:r>
          </w:p>
          <w:p>
            <w:pPr>
              <w:widowControl/>
              <w:numPr>
                <w:ilvl w:val="0"/>
                <w:numId w:val="3"/>
              </w:num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训练器材基本齐全、功能完整、设备较先进，满足日常训练需要。</w:t>
            </w:r>
          </w:p>
        </w:tc>
        <w:tc>
          <w:tcPr>
            <w:tcW w:w="850"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8" w:hRule="atLeast"/>
        </w:trPr>
        <w:tc>
          <w:tcPr>
            <w:tcW w:w="993" w:type="dxa"/>
            <w:vMerge w:val="continue"/>
            <w:shd w:val="clear" w:color="auto" w:fill="FFFFFF" w:themeFill="background1"/>
          </w:tcPr>
          <w:p>
            <w:pPr>
              <w:widowControl/>
              <w:numPr>
                <w:ilvl w:val="0"/>
                <w:numId w:val="3"/>
              </w:numPr>
              <w:rPr>
                <w:rFonts w:ascii="宋体" w:hAnsi="宋体" w:cs="宋体"/>
                <w:color w:val="000000" w:themeColor="text1"/>
                <w:kern w:val="0"/>
                <w:sz w:val="24"/>
                <w14:textFill>
                  <w14:solidFill>
                    <w14:schemeClr w14:val="tx1"/>
                  </w14:solidFill>
                </w14:textFill>
              </w:rPr>
            </w:pPr>
          </w:p>
        </w:tc>
        <w:tc>
          <w:tcPr>
            <w:tcW w:w="7371" w:type="dxa"/>
            <w:shd w:val="clear" w:color="auto" w:fill="FFFFFF" w:themeFill="background1"/>
            <w:vAlign w:val="center"/>
          </w:tcPr>
          <w:p>
            <w:pPr>
              <w:pStyle w:val="14"/>
              <w:widowControl/>
              <w:numPr>
                <w:ilvl w:val="0"/>
                <w:numId w:val="4"/>
              </w:numPr>
              <w:ind w:firstLineChars="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有保证全天候排球训练的1块标准场地，铺设木地板或塑胶地板，通风、采光、照明条件好。</w:t>
            </w:r>
          </w:p>
          <w:p>
            <w:pPr>
              <w:widowControl/>
              <w:numPr>
                <w:ilvl w:val="0"/>
                <w:numId w:val="4"/>
              </w:num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训练馆（房）设施条件一般，无田径场。</w:t>
            </w:r>
          </w:p>
          <w:p>
            <w:pPr>
              <w:widowControl/>
              <w:numPr>
                <w:ilvl w:val="0"/>
                <w:numId w:val="4"/>
              </w:num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训练器材较齐全、完整，基本满足训练需要。</w:t>
            </w:r>
          </w:p>
        </w:tc>
        <w:tc>
          <w:tcPr>
            <w:tcW w:w="850"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50分</w:t>
            </w:r>
          </w:p>
        </w:tc>
      </w:tr>
    </w:tbl>
    <w:p>
      <w:pPr>
        <w:rPr>
          <w:rFonts w:ascii="宋体" w:hAnsi="宋体"/>
          <w:color w:val="000000" w:themeColor="text1"/>
          <w14:textFill>
            <w14:solidFill>
              <w14:schemeClr w14:val="tx1"/>
            </w14:solidFill>
          </w14:textFill>
        </w:rPr>
      </w:pPr>
    </w:p>
    <w:tbl>
      <w:tblPr>
        <w:tblStyle w:val="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
        <w:gridCol w:w="737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70" w:hRule="atLeast"/>
        </w:trPr>
        <w:tc>
          <w:tcPr>
            <w:tcW w:w="993" w:type="dxa"/>
            <w:shd w:val="clear" w:color="auto" w:fill="FFFFFF" w:themeFill="background1"/>
          </w:tcPr>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w:t>
            </w:r>
            <w:r>
              <w:rPr>
                <w:rFonts w:ascii="宋体" w:hAnsi="宋体" w:cs="宋体"/>
                <w:b/>
                <w:bCs/>
                <w:color w:val="000000" w:themeColor="text1"/>
                <w:kern w:val="0"/>
                <w:sz w:val="24"/>
                <w14:textFill>
                  <w14:solidFill>
                    <w14:schemeClr w14:val="tx1"/>
                  </w14:solidFill>
                </w14:textFill>
              </w:rPr>
              <w:t>与</w:t>
            </w:r>
            <w:r>
              <w:rPr>
                <w:rFonts w:hint="eastAsia" w:ascii="宋体" w:hAnsi="宋体" w:cs="宋体"/>
                <w:b/>
                <w:bCs/>
                <w:color w:val="000000" w:themeColor="text1"/>
                <w:kern w:val="0"/>
                <w:sz w:val="24"/>
                <w14:textFill>
                  <w14:solidFill>
                    <w14:schemeClr w14:val="tx1"/>
                  </w14:solidFill>
                </w14:textFill>
              </w:rPr>
              <w:t>权 重</w:t>
            </w:r>
          </w:p>
        </w:tc>
        <w:tc>
          <w:tcPr>
            <w:tcW w:w="7371" w:type="dxa"/>
            <w:shd w:val="clear" w:color="auto" w:fill="FFFFFF" w:themeFill="background1"/>
            <w:vAlign w:val="center"/>
          </w:tcPr>
          <w:p>
            <w:pPr>
              <w:spacing w:line="480" w:lineRule="auto"/>
              <w:jc w:val="center"/>
              <w:rPr>
                <w:rFonts w:ascii="宋体" w:hAnsi="宋体"/>
                <w:b/>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c>
          <w:tcPr>
            <w:tcW w:w="850" w:type="dxa"/>
            <w:shd w:val="clear" w:color="auto" w:fill="FFFFFF" w:themeFill="background1"/>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58" w:hRule="atLeast"/>
        </w:trPr>
        <w:tc>
          <w:tcPr>
            <w:tcW w:w="993" w:type="dxa"/>
            <w:vMerge w:val="restart"/>
            <w:shd w:val="clear" w:color="auto" w:fill="FFFFFF" w:themeFill="background1"/>
            <w:vAlign w:val="center"/>
          </w:tcPr>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科研</w:t>
            </w:r>
          </w:p>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设备</w:t>
            </w:r>
          </w:p>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7371" w:type="dxa"/>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1、学校具有独立科研医务室，总面积100平方米以上，并配有专职人员。</w:t>
            </w:r>
          </w:p>
          <w:p>
            <w:pPr>
              <w:spacing w:line="32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、具备选材、机能评定及训练监测需要的下列仪器设备。</w:t>
            </w:r>
          </w:p>
          <w:p>
            <w:pPr>
              <w:spacing w:line="320" w:lineRule="exact"/>
              <w:ind w:left="36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A、形态与素质：</w:t>
            </w:r>
          </w:p>
          <w:p>
            <w:pPr>
              <w:spacing w:line="320" w:lineRule="exact"/>
              <w:ind w:left="360" w:firstLine="120" w:firstLineChar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（1）全套形态测量仪器；</w:t>
            </w:r>
          </w:p>
          <w:p>
            <w:pPr>
              <w:spacing w:line="320" w:lineRule="exact"/>
              <w:ind w:left="360" w:firstLine="120" w:firstLineChar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（2）学生体质健康综合测试仪； </w:t>
            </w:r>
          </w:p>
          <w:p>
            <w:pPr>
              <w:spacing w:line="320" w:lineRule="exact"/>
              <w:ind w:left="36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B、理疗康复：</w:t>
            </w:r>
          </w:p>
          <w:p>
            <w:pPr>
              <w:spacing w:line="320" w:lineRule="exact"/>
              <w:ind w:left="360" w:firstLine="120" w:firstLineChar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（3）微波治疗仪；</w:t>
            </w:r>
          </w:p>
          <w:p>
            <w:pPr>
              <w:spacing w:line="320" w:lineRule="exact"/>
              <w:ind w:left="360" w:firstLine="120" w:firstLineChar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（4）超短波治疗仪；</w:t>
            </w:r>
          </w:p>
          <w:p>
            <w:pPr>
              <w:spacing w:line="320" w:lineRule="exact"/>
              <w:ind w:left="36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C、疲劳恢复：</w:t>
            </w:r>
          </w:p>
          <w:p>
            <w:pPr>
              <w:spacing w:line="320" w:lineRule="exact"/>
              <w:ind w:left="360" w:firstLine="120" w:firstLineChar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（5）浴室</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3、以上设备具备（1）-（3）其中1项，（4）-（5）其中1项。</w:t>
            </w:r>
          </w:p>
        </w:tc>
        <w:tc>
          <w:tcPr>
            <w:tcW w:w="850" w:type="dxa"/>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993" w:type="dxa"/>
            <w:vMerge w:val="continue"/>
            <w:shd w:val="clear" w:color="auto" w:fill="FFFFFF" w:themeFill="background1"/>
          </w:tcPr>
          <w:p>
            <w:pPr>
              <w:numPr>
                <w:ilvl w:val="0"/>
                <w:numId w:val="4"/>
              </w:numPr>
              <w:spacing w:line="320" w:lineRule="exact"/>
              <w:rPr>
                <w:rFonts w:ascii="宋体" w:hAnsi="宋体"/>
                <w:color w:val="000000" w:themeColor="text1"/>
                <w:sz w:val="24"/>
                <w14:textFill>
                  <w14:solidFill>
                    <w14:schemeClr w14:val="tx1"/>
                  </w14:solidFill>
                </w14:textFill>
              </w:rPr>
            </w:pPr>
          </w:p>
        </w:tc>
        <w:tc>
          <w:tcPr>
            <w:tcW w:w="7371" w:type="dxa"/>
            <w:tcBorders>
              <w:top w:val="single" w:color="auto" w:sz="4" w:space="0"/>
              <w:bottom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1、具备选材、机能评定及训练监测设备（1）-（3）其中1项，</w:t>
            </w:r>
          </w:p>
          <w:p>
            <w:pPr>
              <w:spacing w:line="320" w:lineRule="exact"/>
              <w:ind w:left="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（4）-（5）其中1项。</w:t>
            </w:r>
          </w:p>
        </w:tc>
        <w:tc>
          <w:tcPr>
            <w:tcW w:w="8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70分</w:t>
            </w:r>
          </w:p>
        </w:tc>
      </w:tr>
    </w:tbl>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numPr>
          <w:ilvl w:val="0"/>
          <w:numId w:val="5"/>
        </w:numP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教练员</w:t>
      </w:r>
    </w:p>
    <w:p>
      <w:pPr>
        <w:numPr>
          <w:numId w:val="0"/>
        </w:numPr>
        <w:rPr>
          <w:rFonts w:hint="eastAsia" w:ascii="宋体" w:hAnsi="宋体"/>
          <w:b/>
          <w:color w:val="000000" w:themeColor="text1"/>
          <w:sz w:val="24"/>
          <w14:textFill>
            <w14:solidFill>
              <w14:schemeClr w14:val="tx1"/>
            </w14:solidFill>
          </w14:textFill>
        </w:rPr>
      </w:pPr>
    </w:p>
    <w:tbl>
      <w:tblPr>
        <w:tblStyle w:val="5"/>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
        <w:gridCol w:w="751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70" w:hRule="atLeast"/>
        </w:trPr>
        <w:tc>
          <w:tcPr>
            <w:tcW w:w="993" w:type="dxa"/>
            <w:shd w:val="clear" w:color="auto" w:fill="FFFFFF" w:themeFill="background1"/>
          </w:tcPr>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w:t>
            </w:r>
            <w:r>
              <w:rPr>
                <w:rFonts w:ascii="宋体" w:hAnsi="宋体" w:cs="宋体"/>
                <w:b/>
                <w:bCs/>
                <w:color w:val="000000" w:themeColor="text1"/>
                <w:kern w:val="0"/>
                <w:sz w:val="24"/>
                <w14:textFill>
                  <w14:solidFill>
                    <w14:schemeClr w14:val="tx1"/>
                  </w14:solidFill>
                </w14:textFill>
              </w:rPr>
              <w:t>与</w:t>
            </w:r>
            <w:r>
              <w:rPr>
                <w:rFonts w:hint="eastAsia" w:ascii="宋体" w:hAnsi="宋体" w:cs="宋体"/>
                <w:b/>
                <w:bCs/>
                <w:color w:val="000000" w:themeColor="text1"/>
                <w:kern w:val="0"/>
                <w:sz w:val="24"/>
                <w14:textFill>
                  <w14:solidFill>
                    <w14:schemeClr w14:val="tx1"/>
                  </w14:solidFill>
                </w14:textFill>
              </w:rPr>
              <w:t>权 重</w:t>
            </w:r>
          </w:p>
        </w:tc>
        <w:tc>
          <w:tcPr>
            <w:tcW w:w="7513" w:type="dxa"/>
            <w:shd w:val="clear" w:color="auto" w:fill="FFFFFF" w:themeFill="background1"/>
            <w:vAlign w:val="center"/>
          </w:tcPr>
          <w:p>
            <w:pPr>
              <w:spacing w:line="480" w:lineRule="auto"/>
              <w:jc w:val="center"/>
              <w:rPr>
                <w:rFonts w:ascii="宋体" w:hAnsi="宋体"/>
                <w:b/>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c>
          <w:tcPr>
            <w:tcW w:w="992" w:type="dxa"/>
            <w:shd w:val="clear" w:color="auto" w:fill="FFFFFF" w:themeFill="background1"/>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80" w:hRule="atLeast"/>
        </w:trPr>
        <w:tc>
          <w:tcPr>
            <w:tcW w:w="993"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教练员团队基本要求</w:t>
            </w:r>
          </w:p>
          <w:p>
            <w:pPr>
              <w:spacing w:line="360" w:lineRule="auto"/>
              <w:ind w:left="33"/>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0%</w:t>
            </w:r>
          </w:p>
        </w:tc>
        <w:tc>
          <w:tcPr>
            <w:tcW w:w="7513" w:type="dxa"/>
            <w:tcBorders>
              <w:top w:val="single" w:color="auto" w:sz="4" w:space="0"/>
              <w:left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1、具有高级职称的排球教练员占教练总数30%及以上；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2、具有本科学历的排球教练员占教练员总数80%及以上；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3、具有专业队经历的排球教练员占教练员总数的40%及以上。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4、排球教练员人数与排球班学生人数比例1：15以下。学校不少于100名在训学生，梯队设置合理。</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5、有专职体能教练。</w:t>
            </w:r>
          </w:p>
        </w:tc>
        <w:tc>
          <w:tcPr>
            <w:tcW w:w="992"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93" w:type="dxa"/>
            <w:vMerge w:val="continue"/>
            <w:tcBorders>
              <w:left w:val="single" w:color="auto" w:sz="4" w:space="0"/>
              <w:right w:val="single" w:color="auto" w:sz="4" w:space="0"/>
            </w:tcBorders>
            <w:shd w:val="clear" w:color="auto" w:fill="FFFFFF" w:themeFill="background1"/>
          </w:tcPr>
          <w:p>
            <w:pPr>
              <w:widowControl/>
              <w:jc w:val="center"/>
              <w:rPr>
                <w:rFonts w:ascii="宋体" w:hAnsi="宋体" w:cs="宋体"/>
                <w:bCs/>
                <w:color w:val="000000" w:themeColor="text1"/>
                <w:kern w:val="0"/>
                <w:sz w:val="24"/>
                <w14:textFill>
                  <w14:solidFill>
                    <w14:schemeClr w14:val="tx1"/>
                  </w14:solidFill>
                </w14:textFill>
              </w:rPr>
            </w:pPr>
          </w:p>
        </w:tc>
        <w:tc>
          <w:tcPr>
            <w:tcW w:w="7513" w:type="dxa"/>
            <w:tcBorders>
              <w:top w:val="single" w:color="auto" w:sz="4" w:space="0"/>
              <w:left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1、具有高级职称的排球教练员占教练总数20%及以上；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2、具有本科学历的排球教练员占教练员总数60%及以上；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3、具有专业队经历的排球教练员占教练员总数的20%及以上。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4、排球教练员人数与排球班学生人数比例1：15以下。学校不少于80名在训学生，梯队设置合理。</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5、有兼职体能教练。</w:t>
            </w:r>
          </w:p>
        </w:tc>
        <w:tc>
          <w:tcPr>
            <w:tcW w:w="992"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93" w:type="dxa"/>
            <w:vMerge w:val="continue"/>
            <w:tcBorders>
              <w:left w:val="single" w:color="auto" w:sz="4" w:space="0"/>
              <w:right w:val="single" w:color="auto" w:sz="4" w:space="0"/>
            </w:tcBorders>
            <w:shd w:val="clear" w:color="auto" w:fill="FFFFFF" w:themeFill="background1"/>
          </w:tcPr>
          <w:p>
            <w:pPr>
              <w:widowControl/>
              <w:jc w:val="center"/>
              <w:rPr>
                <w:rFonts w:ascii="宋体" w:hAnsi="宋体" w:cs="宋体"/>
                <w:bCs/>
                <w:color w:val="000000" w:themeColor="text1"/>
                <w:kern w:val="0"/>
                <w:sz w:val="24"/>
                <w14:textFill>
                  <w14:solidFill>
                    <w14:schemeClr w14:val="tx1"/>
                  </w14:solidFill>
                </w14:textFill>
              </w:rPr>
            </w:pPr>
          </w:p>
        </w:tc>
        <w:tc>
          <w:tcPr>
            <w:tcW w:w="7513" w:type="dxa"/>
            <w:tcBorders>
              <w:top w:val="single" w:color="auto" w:sz="4" w:space="0"/>
              <w:left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1、具有高级职称的排球教练员占教练总数20%及以上；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2、具有本科学历的排球教练员占教练员总数60%及以上；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3、具有专业队经历的排球教练员占教练员总数的20%及以上。</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4、排球教练员人数与排球班学生人数比例1：15以下。学校不少于60名在训学生，梯队设置合理。</w:t>
            </w:r>
          </w:p>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5、无体能教练</w:t>
            </w:r>
          </w:p>
        </w:tc>
        <w:tc>
          <w:tcPr>
            <w:tcW w:w="992"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40分 </w:t>
            </w:r>
          </w:p>
        </w:tc>
      </w:tr>
    </w:tbl>
    <w:p>
      <w:pPr>
        <w:rPr>
          <w:rFonts w:ascii="宋体" w:hAnsi="宋体"/>
          <w:color w:val="000000" w:themeColor="text1"/>
          <w:sz w:val="24"/>
          <w14:textFill>
            <w14:solidFill>
              <w14:schemeClr w14:val="tx1"/>
            </w14:solidFill>
          </w14:textFill>
        </w:rPr>
      </w:pPr>
    </w:p>
    <w:tbl>
      <w:tblPr>
        <w:tblStyle w:val="5"/>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
        <w:gridCol w:w="751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trPr>
        <w:tc>
          <w:tcPr>
            <w:tcW w:w="993" w:type="dxa"/>
            <w:shd w:val="clear" w:color="auto" w:fill="FFFFFF" w:themeFill="background1"/>
          </w:tcPr>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w:t>
            </w:r>
            <w:r>
              <w:rPr>
                <w:rFonts w:ascii="宋体" w:hAnsi="宋体" w:cs="宋体"/>
                <w:b/>
                <w:bCs/>
                <w:color w:val="000000" w:themeColor="text1"/>
                <w:kern w:val="0"/>
                <w:sz w:val="24"/>
                <w14:textFill>
                  <w14:solidFill>
                    <w14:schemeClr w14:val="tx1"/>
                  </w14:solidFill>
                </w14:textFill>
              </w:rPr>
              <w:t>与</w:t>
            </w:r>
            <w:r>
              <w:rPr>
                <w:rFonts w:hint="eastAsia" w:ascii="宋体" w:hAnsi="宋体" w:cs="宋体"/>
                <w:b/>
                <w:bCs/>
                <w:color w:val="000000" w:themeColor="text1"/>
                <w:kern w:val="0"/>
                <w:sz w:val="24"/>
                <w14:textFill>
                  <w14:solidFill>
                    <w14:schemeClr w14:val="tx1"/>
                  </w14:solidFill>
                </w14:textFill>
              </w:rPr>
              <w:t>权 重</w:t>
            </w:r>
          </w:p>
        </w:tc>
        <w:tc>
          <w:tcPr>
            <w:tcW w:w="7513" w:type="dxa"/>
            <w:shd w:val="clear" w:color="auto" w:fill="FFFFFF" w:themeFill="background1"/>
            <w:vAlign w:val="center"/>
          </w:tcPr>
          <w:p>
            <w:pPr>
              <w:spacing w:line="480" w:lineRule="auto"/>
              <w:jc w:val="center"/>
              <w:rPr>
                <w:rFonts w:ascii="宋体" w:hAnsi="宋体"/>
                <w:b/>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c>
          <w:tcPr>
            <w:tcW w:w="992" w:type="dxa"/>
            <w:shd w:val="clear" w:color="auto" w:fill="FFFFFF" w:themeFill="background1"/>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3"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教练员团队</w:t>
            </w:r>
          </w:p>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培训</w:t>
            </w:r>
          </w:p>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7513"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、2018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2021年本单位排球教练员参加省级以上相关排球专业培训10人次以上</w:t>
            </w:r>
          </w:p>
        </w:tc>
        <w:tc>
          <w:tcPr>
            <w:tcW w:w="992"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93" w:type="dxa"/>
            <w:vMerge w:val="continue"/>
            <w:tcBorders>
              <w:left w:val="single" w:color="auto" w:sz="4" w:space="0"/>
              <w:right w:val="single" w:color="auto" w:sz="4" w:space="0"/>
            </w:tcBorders>
            <w:shd w:val="clear" w:color="auto" w:fill="FFFFFF" w:themeFill="background1"/>
          </w:tcPr>
          <w:p>
            <w:pPr>
              <w:widowControl/>
              <w:jc w:val="center"/>
              <w:rPr>
                <w:rFonts w:ascii="宋体" w:hAnsi="宋体" w:cs="宋体"/>
                <w:bCs/>
                <w:color w:val="000000" w:themeColor="text1"/>
                <w:kern w:val="0"/>
                <w:sz w:val="24"/>
                <w14:textFill>
                  <w14:solidFill>
                    <w14:schemeClr w14:val="tx1"/>
                  </w14:solidFill>
                </w14:textFill>
              </w:rPr>
            </w:pPr>
          </w:p>
        </w:tc>
        <w:tc>
          <w:tcPr>
            <w:tcW w:w="7513"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、2018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2021年本单位排球教练员参加省级以上相关排球专业培训8人次以上</w:t>
            </w:r>
          </w:p>
        </w:tc>
        <w:tc>
          <w:tcPr>
            <w:tcW w:w="992"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3" w:type="dxa"/>
            <w:vMerge w:val="continue"/>
            <w:tcBorders>
              <w:left w:val="single" w:color="auto" w:sz="4" w:space="0"/>
              <w:right w:val="single" w:color="auto" w:sz="4" w:space="0"/>
            </w:tcBorders>
            <w:shd w:val="clear" w:color="auto" w:fill="FFFFFF" w:themeFill="background1"/>
          </w:tcPr>
          <w:p>
            <w:pPr>
              <w:widowControl/>
              <w:jc w:val="center"/>
              <w:rPr>
                <w:rFonts w:ascii="宋体" w:hAnsi="宋体" w:cs="宋体"/>
                <w:bCs/>
                <w:color w:val="000000" w:themeColor="text1"/>
                <w:kern w:val="0"/>
                <w:sz w:val="24"/>
                <w14:textFill>
                  <w14:solidFill>
                    <w14:schemeClr w14:val="tx1"/>
                  </w14:solidFill>
                </w14:textFill>
              </w:rPr>
            </w:pPr>
          </w:p>
        </w:tc>
        <w:tc>
          <w:tcPr>
            <w:tcW w:w="7513"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、2018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2021年本单位排球教练员参加省级以上相关排球专业培训6人次以上</w:t>
            </w:r>
          </w:p>
        </w:tc>
        <w:tc>
          <w:tcPr>
            <w:tcW w:w="992"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40分</w:t>
            </w:r>
          </w:p>
        </w:tc>
      </w:tr>
    </w:tbl>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numPr>
          <w:ilvl w:val="0"/>
          <w:numId w:val="5"/>
        </w:numPr>
        <w:ind w:left="0" w:leftChars="0" w:firstLine="0" w:firstLineChars="0"/>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教学训练</w:t>
      </w:r>
    </w:p>
    <w:p>
      <w:pPr>
        <w:numPr>
          <w:numId w:val="0"/>
        </w:numPr>
        <w:ind w:leftChars="0"/>
        <w:rPr>
          <w:rFonts w:hint="eastAsia" w:ascii="宋体" w:hAnsi="宋体"/>
          <w:b/>
          <w:color w:val="000000" w:themeColor="text1"/>
          <w:sz w:val="24"/>
          <w14:textFill>
            <w14:solidFill>
              <w14:schemeClr w14:val="tx1"/>
            </w14:solidFill>
          </w14:textFill>
        </w:rPr>
      </w:pPr>
      <w:bookmarkStart w:id="0" w:name="_GoBack"/>
      <w:bookmarkEnd w:id="0"/>
    </w:p>
    <w:tbl>
      <w:tblPr>
        <w:tblStyle w:val="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
        <w:gridCol w:w="751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70" w:hRule="atLeast"/>
        </w:trPr>
        <w:tc>
          <w:tcPr>
            <w:tcW w:w="993" w:type="dxa"/>
            <w:shd w:val="clear" w:color="auto" w:fill="FFFFFF" w:themeFill="background1"/>
          </w:tcPr>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w:t>
            </w:r>
            <w:r>
              <w:rPr>
                <w:rFonts w:ascii="宋体" w:hAnsi="宋体" w:cs="宋体"/>
                <w:b/>
                <w:bCs/>
                <w:color w:val="000000" w:themeColor="text1"/>
                <w:kern w:val="0"/>
                <w:sz w:val="24"/>
                <w14:textFill>
                  <w14:solidFill>
                    <w14:schemeClr w14:val="tx1"/>
                  </w14:solidFill>
                </w14:textFill>
              </w:rPr>
              <w:t>与</w:t>
            </w:r>
            <w:r>
              <w:rPr>
                <w:rFonts w:hint="eastAsia" w:ascii="宋体" w:hAnsi="宋体" w:cs="宋体"/>
                <w:b/>
                <w:bCs/>
                <w:color w:val="000000" w:themeColor="text1"/>
                <w:kern w:val="0"/>
                <w:sz w:val="24"/>
                <w14:textFill>
                  <w14:solidFill>
                    <w14:schemeClr w14:val="tx1"/>
                  </w14:solidFill>
                </w14:textFill>
              </w:rPr>
              <w:t>权 重</w:t>
            </w:r>
          </w:p>
        </w:tc>
        <w:tc>
          <w:tcPr>
            <w:tcW w:w="7512" w:type="dxa"/>
            <w:shd w:val="clear" w:color="auto" w:fill="FFFFFF" w:themeFill="background1"/>
            <w:vAlign w:val="center"/>
          </w:tcPr>
          <w:p>
            <w:pPr>
              <w:spacing w:line="480" w:lineRule="auto"/>
              <w:jc w:val="center"/>
              <w:rPr>
                <w:rFonts w:ascii="宋体" w:hAnsi="宋体"/>
                <w:b/>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c>
          <w:tcPr>
            <w:tcW w:w="851" w:type="dxa"/>
            <w:shd w:val="clear" w:color="auto" w:fill="FFFFFF" w:themeFill="background1"/>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150" w:hRule="atLeast"/>
        </w:trPr>
        <w:tc>
          <w:tcPr>
            <w:tcW w:w="993"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训练计划及</w:t>
            </w:r>
          </w:p>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执行</w:t>
            </w:r>
          </w:p>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7512" w:type="dxa"/>
            <w:tcBorders>
              <w:top w:val="single" w:color="auto" w:sz="4" w:space="0"/>
              <w:left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教练员训练计划（包含年度、阶段、周训练计划、训练课教案及阶段性训练总结）齐全规范率达90%，且训练课按照训练计划执行，训练课质量高。</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856" w:hRule="atLeast"/>
        </w:trPr>
        <w:tc>
          <w:tcPr>
            <w:tcW w:w="993" w:type="dxa"/>
            <w:vMerge w:val="continue"/>
            <w:tcBorders>
              <w:left w:val="single" w:color="auto" w:sz="4" w:space="0"/>
              <w:right w:val="single" w:color="auto" w:sz="4" w:space="0"/>
            </w:tcBorders>
            <w:shd w:val="clear" w:color="auto" w:fill="FFFFFF" w:themeFill="background1"/>
          </w:tcPr>
          <w:p>
            <w:pPr>
              <w:widowControl/>
              <w:jc w:val="center"/>
              <w:rPr>
                <w:rFonts w:ascii="宋体" w:hAnsi="宋体" w:cs="宋体"/>
                <w:bCs/>
                <w:color w:val="000000" w:themeColor="text1"/>
                <w:kern w:val="0"/>
                <w:sz w:val="24"/>
                <w14:textFill>
                  <w14:solidFill>
                    <w14:schemeClr w14:val="tx1"/>
                  </w14:solidFill>
                </w14:textFill>
              </w:rPr>
            </w:pPr>
          </w:p>
        </w:tc>
        <w:tc>
          <w:tcPr>
            <w:tcW w:w="7512" w:type="dxa"/>
            <w:tcBorders>
              <w:top w:val="single" w:color="auto" w:sz="4" w:space="0"/>
              <w:left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教练员训练计划齐全规范率达90%，且训练课按照训练计划执行，训练课质量较高。</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40" w:hRule="atLeast"/>
        </w:trPr>
        <w:tc>
          <w:tcPr>
            <w:tcW w:w="993" w:type="dxa"/>
            <w:vMerge w:val="restart"/>
            <w:tcBorders>
              <w:left w:val="single" w:color="auto" w:sz="4" w:space="0"/>
              <w:right w:val="single" w:color="auto" w:sz="4" w:space="0"/>
            </w:tcBorders>
            <w:shd w:val="clear" w:color="auto" w:fill="FFFFFF" w:themeFill="background1"/>
            <w:vAlign w:val="center"/>
          </w:tcPr>
          <w:p>
            <w:pPr>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训练大纲考核</w:t>
            </w:r>
          </w:p>
          <w:p>
            <w:pPr>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学校按照《中国青少年排球训练教学大纲》对各年组学生进行全面考核，综合评定，优秀率达20%（含20%）以上；</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39" w:hRule="atLeast"/>
        </w:trPr>
        <w:tc>
          <w:tcPr>
            <w:tcW w:w="993" w:type="dxa"/>
            <w:vMerge w:val="continue"/>
            <w:tcBorders>
              <w:left w:val="single" w:color="auto" w:sz="4" w:space="0"/>
              <w:right w:val="single" w:color="auto" w:sz="4" w:space="0"/>
            </w:tcBorders>
            <w:shd w:val="clear" w:color="auto" w:fill="FFFFFF" w:themeFill="background1"/>
          </w:tcPr>
          <w:p>
            <w:pPr>
              <w:ind w:left="33"/>
              <w:jc w:val="center"/>
              <w:rPr>
                <w:rFonts w:ascii="宋体" w:hAnsi="宋体" w:cs="宋体"/>
                <w:bCs/>
                <w:color w:val="000000" w:themeColor="text1"/>
                <w:kern w:val="0"/>
                <w:sz w:val="24"/>
                <w14:textFill>
                  <w14:solidFill>
                    <w14:schemeClr w14:val="tx1"/>
                  </w14:solidFill>
                </w14:textFill>
              </w:rPr>
            </w:pP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学校按照《中国青少年排球训练教学大纲》对各年组学生进行全面考核，优秀率达15%（含15%）以上。</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70分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40" w:hRule="atLeast"/>
        </w:trPr>
        <w:tc>
          <w:tcPr>
            <w:tcW w:w="993" w:type="dxa"/>
            <w:vMerge w:val="continue"/>
            <w:tcBorders>
              <w:left w:val="single" w:color="auto" w:sz="4" w:space="0"/>
              <w:right w:val="single" w:color="auto" w:sz="4" w:space="0"/>
            </w:tcBorders>
            <w:shd w:val="clear" w:color="auto" w:fill="FFFFFF" w:themeFill="background1"/>
          </w:tcPr>
          <w:p>
            <w:pPr>
              <w:ind w:left="33"/>
              <w:jc w:val="center"/>
              <w:rPr>
                <w:rFonts w:ascii="宋体" w:hAnsi="宋体" w:cs="宋体"/>
                <w:bCs/>
                <w:color w:val="000000" w:themeColor="text1"/>
                <w:kern w:val="0"/>
                <w:sz w:val="24"/>
                <w14:textFill>
                  <w14:solidFill>
                    <w14:schemeClr w14:val="tx1"/>
                  </w14:solidFill>
                </w14:textFill>
              </w:rPr>
            </w:pP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学校按照《中国青少年排球训练教学大纲》对各年组学生进行全面考核，优秀率达10%（含10%）以上。</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740" w:hRule="atLeast"/>
        </w:trPr>
        <w:tc>
          <w:tcPr>
            <w:tcW w:w="993" w:type="dxa"/>
            <w:vMerge w:val="restart"/>
            <w:tcBorders>
              <w:left w:val="single" w:color="auto" w:sz="4" w:space="0"/>
              <w:right w:val="single" w:color="auto" w:sz="4" w:space="0"/>
            </w:tcBorders>
            <w:shd w:val="clear" w:color="auto" w:fill="FFFFFF" w:themeFill="background1"/>
            <w:vAlign w:val="center"/>
          </w:tcPr>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训练常规管理</w:t>
            </w:r>
          </w:p>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1、教练员聘任、考核制度健全，教练员管理制度齐全，建档规范。</w:t>
            </w:r>
          </w:p>
          <w:p>
            <w:pPr>
              <w:spacing w:line="32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、学校招生、学生进退队、考勤、参赛、输送等各项制度规范齐全。</w:t>
            </w:r>
          </w:p>
          <w:p>
            <w:pPr>
              <w:autoSpaceDN w:val="0"/>
              <w:spacing w:line="32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、学校有执行上述制度、计划及管理办法的原始工作资料。</w:t>
            </w:r>
          </w:p>
          <w:p>
            <w:pPr>
              <w:autoSpaceDN w:val="0"/>
              <w:spacing w:line="32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、参照认定评分说明18项材料，其中满足至少15项。</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trPr>
        <w:tc>
          <w:tcPr>
            <w:tcW w:w="993" w:type="dxa"/>
            <w:vMerge w:val="continue"/>
            <w:tcBorders>
              <w:left w:val="single" w:color="auto" w:sz="4" w:space="0"/>
              <w:right w:val="single" w:color="auto" w:sz="4" w:space="0"/>
            </w:tcBorders>
            <w:shd w:val="clear" w:color="auto" w:fill="FFFFFF" w:themeFill="background1"/>
            <w:vAlign w:val="center"/>
          </w:tcPr>
          <w:p>
            <w:pPr>
              <w:ind w:left="33"/>
              <w:jc w:val="center"/>
              <w:rPr>
                <w:rFonts w:ascii="宋体" w:hAnsi="宋体"/>
                <w:color w:val="000000" w:themeColor="text1"/>
                <w:sz w:val="24"/>
                <w14:textFill>
                  <w14:solidFill>
                    <w14:schemeClr w14:val="tx1"/>
                  </w14:solidFill>
                </w14:textFill>
              </w:rPr>
            </w:pP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utoSpaceDN w:val="0"/>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参照认定评分说明18项材料，其中满足至少10项。</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trPr>
        <w:tc>
          <w:tcPr>
            <w:tcW w:w="993" w:type="dxa"/>
            <w:vMerge w:val="continue"/>
            <w:tcBorders>
              <w:left w:val="single" w:color="auto" w:sz="4" w:space="0"/>
              <w:right w:val="single" w:color="auto" w:sz="4" w:space="0"/>
            </w:tcBorders>
            <w:shd w:val="clear" w:color="auto" w:fill="FFFFFF" w:themeFill="background1"/>
            <w:vAlign w:val="center"/>
          </w:tcPr>
          <w:p>
            <w:pPr>
              <w:widowControl/>
              <w:jc w:val="center"/>
              <w:rPr>
                <w:rFonts w:ascii="宋体" w:hAnsi="宋体" w:cs="宋体"/>
                <w:bCs/>
                <w:color w:val="000000" w:themeColor="text1"/>
                <w:kern w:val="0"/>
                <w:sz w:val="24"/>
                <w14:textFill>
                  <w14:solidFill>
                    <w14:schemeClr w14:val="tx1"/>
                  </w14:solidFill>
                </w14:textFill>
              </w:rPr>
            </w:pP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utoSpaceDN w:val="0"/>
              <w:spacing w:line="32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参照认定评分说明18项材料，其中满足至少6项。</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4" w:hRule="atLeast"/>
        </w:trPr>
        <w:tc>
          <w:tcPr>
            <w:tcW w:w="993" w:type="dxa"/>
            <w:vMerge w:val="restart"/>
            <w:tcBorders>
              <w:left w:val="single" w:color="auto" w:sz="4" w:space="0"/>
              <w:right w:val="single" w:color="auto" w:sz="4" w:space="0"/>
            </w:tcBorders>
            <w:shd w:val="clear" w:color="auto" w:fill="FFFFFF" w:themeFill="background1"/>
            <w:vAlign w:val="center"/>
          </w:tcPr>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人才库</w:t>
            </w:r>
          </w:p>
          <w:p>
            <w:pPr>
              <w:spacing w:line="360" w:lineRule="auto"/>
              <w:ind w:left="33"/>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5%  </w:t>
            </w: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1、学校建有运动员人才库；</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、人才库内容齐全；</w:t>
            </w:r>
          </w:p>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3、入库学生占学生总数70%及以上</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trPr>
        <w:tc>
          <w:tcPr>
            <w:tcW w:w="993" w:type="dxa"/>
            <w:vMerge w:val="continue"/>
            <w:tcBorders>
              <w:left w:val="single" w:color="auto" w:sz="4" w:space="0"/>
              <w:right w:val="single" w:color="auto" w:sz="4" w:space="0"/>
            </w:tcBorders>
            <w:shd w:val="clear" w:color="auto" w:fill="FFFFFF" w:themeFill="background1"/>
            <w:vAlign w:val="center"/>
          </w:tcPr>
          <w:p>
            <w:pPr>
              <w:autoSpaceDN w:val="0"/>
              <w:spacing w:line="300" w:lineRule="exact"/>
              <w:rPr>
                <w:rFonts w:ascii="宋体" w:hAnsi="宋体"/>
                <w:color w:val="000000" w:themeColor="text1"/>
                <w:sz w:val="28"/>
                <w:szCs w:val="28"/>
                <w14:textFill>
                  <w14:solidFill>
                    <w14:schemeClr w14:val="tx1"/>
                  </w14:solidFill>
                </w14:textFill>
              </w:rPr>
            </w:pPr>
          </w:p>
        </w:tc>
        <w:tc>
          <w:tcPr>
            <w:tcW w:w="751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1、学校建有运动员人才库  ；</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 xml:space="preserve">、人才库内容缺一项；        </w:t>
            </w:r>
          </w:p>
          <w:p>
            <w:pPr>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 xml:space="preserve">、人才库学生占学生总数50%及以上                                      </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60分</w:t>
            </w:r>
          </w:p>
        </w:tc>
      </w:tr>
    </w:tbl>
    <w:p>
      <w:pPr>
        <w:rPr>
          <w:rFonts w:ascii="宋体" w:hAnsi="宋体"/>
          <w:b/>
          <w:color w:val="000000" w:themeColor="text1"/>
          <w:sz w:val="24"/>
          <w:highlight w:val="yellow"/>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tbl>
      <w:tblPr>
        <w:tblStyle w:val="5"/>
        <w:tblpPr w:leftFromText="180" w:rightFromText="180" w:vertAnchor="text" w:horzAnchor="margin" w:tblpY="82"/>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65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959" w:type="dxa"/>
            <w:tcBorders>
              <w:top w:val="single" w:color="000000" w:sz="4" w:space="0"/>
              <w:bottom w:val="single" w:color="000000" w:sz="4" w:space="0"/>
            </w:tcBorders>
          </w:tcPr>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w:t>
            </w:r>
            <w:r>
              <w:rPr>
                <w:rFonts w:ascii="宋体" w:hAnsi="宋体" w:cs="宋体"/>
                <w:b/>
                <w:bCs/>
                <w:color w:val="000000" w:themeColor="text1"/>
                <w:kern w:val="0"/>
                <w:sz w:val="24"/>
                <w14:textFill>
                  <w14:solidFill>
                    <w14:schemeClr w14:val="tx1"/>
                  </w14:solidFill>
                </w14:textFill>
              </w:rPr>
              <w:t>与</w:t>
            </w:r>
            <w:r>
              <w:rPr>
                <w:rFonts w:hint="eastAsia" w:ascii="宋体" w:hAnsi="宋体" w:cs="宋体"/>
                <w:b/>
                <w:bCs/>
                <w:color w:val="000000" w:themeColor="text1"/>
                <w:kern w:val="0"/>
                <w:sz w:val="24"/>
                <w14:textFill>
                  <w14:solidFill>
                    <w14:schemeClr w14:val="tx1"/>
                  </w14:solidFill>
                </w14:textFill>
              </w:rPr>
              <w:t>权 重</w:t>
            </w:r>
          </w:p>
        </w:tc>
        <w:tc>
          <w:tcPr>
            <w:tcW w:w="7654" w:type="dxa"/>
            <w:vAlign w:val="center"/>
          </w:tcPr>
          <w:p>
            <w:pPr>
              <w:spacing w:line="480" w:lineRule="auto"/>
              <w:jc w:val="center"/>
              <w:rPr>
                <w:rFonts w:ascii="宋体" w:hAnsi="宋体"/>
                <w:b/>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c>
          <w:tcPr>
            <w:tcW w:w="851" w:type="dxa"/>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959" w:type="dxa"/>
            <w:vMerge w:val="restart"/>
            <w:tcBorders>
              <w:top w:val="single" w:color="000000" w:sz="4" w:space="0"/>
            </w:tcBorders>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队员</w:t>
            </w: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文化</w:t>
            </w:r>
          </w:p>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学习</w:t>
            </w:r>
          </w:p>
          <w:p>
            <w:pPr>
              <w:spacing w:line="360" w:lineRule="auto"/>
              <w:ind w:left="240" w:hanging="240" w:hangingChars="10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w:t>
            </w:r>
          </w:p>
          <w:p>
            <w:pPr>
              <w:rPr>
                <w:rFonts w:ascii="宋体" w:hAnsi="宋体"/>
                <w:color w:val="000000" w:themeColor="text1"/>
                <w:sz w:val="24"/>
                <w14:textFill>
                  <w14:solidFill>
                    <w14:schemeClr w14:val="tx1"/>
                  </w14:solidFill>
                </w14:textFill>
              </w:rPr>
            </w:pPr>
          </w:p>
        </w:tc>
        <w:tc>
          <w:tcPr>
            <w:tcW w:w="7654" w:type="dxa"/>
            <w:vAlign w:val="center"/>
          </w:tcPr>
          <w:p>
            <w:pPr>
              <w:autoSpaceDN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1、保证每天半天文化课学习；业余体校运动员确保都在全日制学校接受“九年制义务教育”。</w:t>
            </w:r>
          </w:p>
          <w:p>
            <w:pPr>
              <w:autoSpaceDN w:val="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2、文化教育管理规范，按照教学大纲有计划的完成教学工作。</w:t>
            </w:r>
            <w:r>
              <w:rPr>
                <w:rFonts w:hint="eastAsia" w:ascii="宋体" w:hAnsi="宋体"/>
                <w:color w:val="000000" w:themeColor="text1"/>
                <w:sz w:val="24"/>
                <w14:textFill>
                  <w14:solidFill>
                    <w14:schemeClr w14:val="tx1"/>
                  </w14:solidFill>
                </w14:textFill>
              </w:rPr>
              <w:t>各种教学资料齐全规范，严格执行教学安排，教学秩序稳定。</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3、按照教学计划进行授课，教学效果好。</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4、前一学期期末文化课考试成绩良好。</w:t>
            </w:r>
          </w:p>
        </w:tc>
        <w:tc>
          <w:tcPr>
            <w:tcW w:w="851" w:type="dxa"/>
            <w:vAlign w:val="center"/>
          </w:tcPr>
          <w:p>
            <w:pPr>
              <w:autoSpaceDN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959" w:type="dxa"/>
            <w:vMerge w:val="continue"/>
            <w:tcBorders>
              <w:top w:val="nil"/>
            </w:tcBorders>
            <w:vAlign w:val="center"/>
          </w:tcPr>
          <w:p>
            <w:pPr>
              <w:jc w:val="center"/>
              <w:rPr>
                <w:rFonts w:ascii="宋体" w:hAnsi="宋体"/>
                <w:color w:val="000000" w:themeColor="text1"/>
                <w:sz w:val="24"/>
                <w14:textFill>
                  <w14:solidFill>
                    <w14:schemeClr w14:val="tx1"/>
                  </w14:solidFill>
                </w14:textFill>
              </w:rPr>
            </w:pPr>
          </w:p>
        </w:tc>
        <w:tc>
          <w:tcPr>
            <w:tcW w:w="7654" w:type="dxa"/>
            <w:vAlign w:val="center"/>
          </w:tcPr>
          <w:p>
            <w:pPr>
              <w:autoSpaceDN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1、保证每天半天文化课学习；业余体校运动员确保都在全日制学校接受“九年制义务教育”。</w:t>
            </w:r>
          </w:p>
          <w:p>
            <w:pPr>
              <w:autoSpaceDN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2、文化教育管理比较规范，按照教学大纲有计划的完成教学工作。</w:t>
            </w:r>
          </w:p>
          <w:p>
            <w:pPr>
              <w:autoSpaceDN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3、按照教学计划进行授课，教学效果较好。                              4、前一学期期末文化课考试及格率为100%。</w:t>
            </w:r>
          </w:p>
        </w:tc>
        <w:tc>
          <w:tcPr>
            <w:tcW w:w="851" w:type="dxa"/>
            <w:vAlign w:val="center"/>
          </w:tcPr>
          <w:p>
            <w:pPr>
              <w:autoSpaceDN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60分</w:t>
            </w:r>
          </w:p>
        </w:tc>
      </w:tr>
    </w:tbl>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四、竞赛</w:t>
      </w:r>
    </w:p>
    <w:tbl>
      <w:tblPr>
        <w:tblStyle w:val="5"/>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
        <w:gridCol w:w="765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20" w:hRule="atLeast"/>
        </w:trPr>
        <w:tc>
          <w:tcPr>
            <w:tcW w:w="993" w:type="dxa"/>
            <w:shd w:val="clear" w:color="auto" w:fill="FFFFFF" w:themeFill="background1"/>
          </w:tcPr>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w:t>
            </w:r>
            <w:r>
              <w:rPr>
                <w:rFonts w:ascii="宋体" w:hAnsi="宋体" w:cs="宋体"/>
                <w:b/>
                <w:bCs/>
                <w:color w:val="000000" w:themeColor="text1"/>
                <w:kern w:val="0"/>
                <w:sz w:val="24"/>
                <w14:textFill>
                  <w14:solidFill>
                    <w14:schemeClr w14:val="tx1"/>
                  </w14:solidFill>
                </w14:textFill>
              </w:rPr>
              <w:t>与</w:t>
            </w:r>
            <w:r>
              <w:rPr>
                <w:rFonts w:hint="eastAsia" w:ascii="宋体" w:hAnsi="宋体" w:cs="宋体"/>
                <w:b/>
                <w:bCs/>
                <w:color w:val="000000" w:themeColor="text1"/>
                <w:kern w:val="0"/>
                <w:sz w:val="24"/>
                <w14:textFill>
                  <w14:solidFill>
                    <w14:schemeClr w14:val="tx1"/>
                  </w14:solidFill>
                </w14:textFill>
              </w:rPr>
              <w:t>权 重</w:t>
            </w:r>
          </w:p>
        </w:tc>
        <w:tc>
          <w:tcPr>
            <w:tcW w:w="7654" w:type="dxa"/>
            <w:shd w:val="clear" w:color="auto" w:fill="FFFFFF" w:themeFill="background1"/>
            <w:vAlign w:val="center"/>
          </w:tcPr>
          <w:p>
            <w:pPr>
              <w:spacing w:line="480" w:lineRule="auto"/>
              <w:jc w:val="center"/>
              <w:rPr>
                <w:rFonts w:ascii="宋体" w:hAnsi="宋体"/>
                <w:b/>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c>
          <w:tcPr>
            <w:tcW w:w="851" w:type="dxa"/>
            <w:shd w:val="clear" w:color="auto" w:fill="FFFFFF" w:themeFill="background1"/>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Merge w:val="restart"/>
            <w:tcBorders>
              <w:top w:val="single" w:color="auto" w:sz="4" w:space="0"/>
              <w:left w:val="single" w:color="auto" w:sz="4" w:space="0"/>
              <w:right w:val="single" w:color="auto" w:sz="4" w:space="0"/>
            </w:tcBorders>
            <w:shd w:val="clear" w:color="auto" w:fill="FFFFFF" w:themeFill="background1"/>
            <w:vAlign w:val="center"/>
          </w:tcPr>
          <w:p>
            <w:pPr>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参加全国各级比赛</w:t>
            </w:r>
          </w:p>
          <w:p>
            <w:pPr>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w:t>
            </w:r>
          </w:p>
        </w:tc>
        <w:tc>
          <w:tcPr>
            <w:tcW w:w="7654"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2021年本单位各级梯队参加体育总局排球中心主办全国青少年排球比赛10次，8次及以上获得前三名比赛成绩。</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993" w:type="dxa"/>
            <w:vMerge w:val="continue"/>
            <w:tcBorders>
              <w:left w:val="single" w:color="auto" w:sz="4" w:space="0"/>
              <w:right w:val="single" w:color="auto" w:sz="4" w:space="0"/>
            </w:tcBorders>
            <w:shd w:val="clear" w:color="auto" w:fill="FFFFFF" w:themeFill="background1"/>
          </w:tcPr>
          <w:p>
            <w:pPr>
              <w:widowControl/>
              <w:jc w:val="center"/>
              <w:rPr>
                <w:rFonts w:ascii="宋体" w:hAnsi="宋体" w:cs="宋体"/>
                <w:bCs/>
                <w:color w:val="000000" w:themeColor="text1"/>
                <w:kern w:val="0"/>
                <w:sz w:val="24"/>
                <w14:textFill>
                  <w14:solidFill>
                    <w14:schemeClr w14:val="tx1"/>
                  </w14:solidFill>
                </w14:textFill>
              </w:rPr>
            </w:pPr>
          </w:p>
        </w:tc>
        <w:tc>
          <w:tcPr>
            <w:tcW w:w="7654"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2021年本单位各级梯队参加中国排协主办全国青少年排球比赛8次，6次及以上获得前六名比赛成绩。</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993" w:type="dxa"/>
            <w:vMerge w:val="continue"/>
            <w:tcBorders>
              <w:left w:val="single" w:color="auto" w:sz="4" w:space="0"/>
              <w:right w:val="single" w:color="auto" w:sz="4" w:space="0"/>
            </w:tcBorders>
            <w:shd w:val="clear" w:color="auto" w:fill="FFFFFF" w:themeFill="background1"/>
          </w:tcPr>
          <w:p>
            <w:pPr>
              <w:widowControl/>
              <w:jc w:val="center"/>
              <w:rPr>
                <w:rFonts w:ascii="宋体" w:hAnsi="宋体" w:cs="宋体"/>
                <w:bCs/>
                <w:color w:val="000000" w:themeColor="text1"/>
                <w:kern w:val="0"/>
                <w:sz w:val="24"/>
                <w14:textFill>
                  <w14:solidFill>
                    <w14:schemeClr w14:val="tx1"/>
                  </w14:solidFill>
                </w14:textFill>
              </w:rPr>
            </w:pPr>
          </w:p>
        </w:tc>
        <w:tc>
          <w:tcPr>
            <w:tcW w:w="7654"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2018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2021年本单位各级梯队参加中国排协主办及省级青少年排球比赛5次，4次及以上获得前八名比赛成绩。</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40分</w:t>
            </w:r>
          </w:p>
        </w:tc>
      </w:tr>
    </w:tbl>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五、人才输送率</w:t>
      </w:r>
    </w:p>
    <w:tbl>
      <w:tblPr>
        <w:tblStyle w:val="5"/>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93"/>
        <w:gridCol w:w="765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trPr>
        <w:tc>
          <w:tcPr>
            <w:tcW w:w="993" w:type="dxa"/>
            <w:shd w:val="clear" w:color="auto" w:fill="FFFFFF" w:themeFill="background1"/>
          </w:tcPr>
          <w:p>
            <w:pP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指标</w:t>
            </w:r>
            <w:r>
              <w:rPr>
                <w:rFonts w:ascii="宋体" w:hAnsi="宋体" w:cs="宋体"/>
                <w:b/>
                <w:bCs/>
                <w:color w:val="000000" w:themeColor="text1"/>
                <w:kern w:val="0"/>
                <w:sz w:val="24"/>
                <w14:textFill>
                  <w14:solidFill>
                    <w14:schemeClr w14:val="tx1"/>
                  </w14:solidFill>
                </w14:textFill>
              </w:rPr>
              <w:t>与</w:t>
            </w:r>
            <w:r>
              <w:rPr>
                <w:rFonts w:hint="eastAsia" w:ascii="宋体" w:hAnsi="宋体" w:cs="宋体"/>
                <w:b/>
                <w:bCs/>
                <w:color w:val="000000" w:themeColor="text1"/>
                <w:kern w:val="0"/>
                <w:sz w:val="24"/>
                <w14:textFill>
                  <w14:solidFill>
                    <w14:schemeClr w14:val="tx1"/>
                  </w14:solidFill>
                </w14:textFill>
              </w:rPr>
              <w:t>权 重</w:t>
            </w:r>
          </w:p>
        </w:tc>
        <w:tc>
          <w:tcPr>
            <w:tcW w:w="7654" w:type="dxa"/>
            <w:shd w:val="clear" w:color="auto" w:fill="FFFFFF" w:themeFill="background1"/>
            <w:vAlign w:val="center"/>
          </w:tcPr>
          <w:p>
            <w:pPr>
              <w:spacing w:line="480" w:lineRule="auto"/>
              <w:jc w:val="center"/>
              <w:rPr>
                <w:rFonts w:ascii="宋体" w:hAnsi="宋体"/>
                <w:b/>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内        容</w:t>
            </w:r>
          </w:p>
        </w:tc>
        <w:tc>
          <w:tcPr>
            <w:tcW w:w="851" w:type="dxa"/>
            <w:shd w:val="clear" w:color="auto" w:fill="FFFFFF" w:themeFill="background1"/>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3" w:hRule="atLeast"/>
        </w:trPr>
        <w:tc>
          <w:tcPr>
            <w:tcW w:w="993"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360" w:lineRule="auto"/>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人才输送率</w:t>
            </w:r>
          </w:p>
          <w:p>
            <w:pPr>
              <w:spacing w:line="360" w:lineRule="auto"/>
              <w:ind w:left="33"/>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w:t>
            </w:r>
          </w:p>
        </w:tc>
        <w:tc>
          <w:tcPr>
            <w:tcW w:w="7654"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1、省级学校在2018—2021年平均输送率50%及以上。</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、地市级学校在2018—2021年平均输送率40%及以上。</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3" w:hRule="atLeast"/>
        </w:trPr>
        <w:tc>
          <w:tcPr>
            <w:tcW w:w="993" w:type="dxa"/>
            <w:vMerge w:val="continue"/>
            <w:tcBorders>
              <w:left w:val="single" w:color="auto" w:sz="4" w:space="0"/>
              <w:right w:val="single" w:color="auto" w:sz="4" w:space="0"/>
            </w:tcBorders>
            <w:shd w:val="clear" w:color="auto" w:fill="FFFFFF" w:themeFill="background1"/>
          </w:tcPr>
          <w:p>
            <w:pPr>
              <w:ind w:left="33"/>
              <w:jc w:val="center"/>
              <w:rPr>
                <w:rFonts w:ascii="宋体" w:hAnsi="宋体"/>
                <w:color w:val="000000" w:themeColor="text1"/>
                <w:sz w:val="24"/>
                <w14:textFill>
                  <w14:solidFill>
                    <w14:schemeClr w14:val="tx1"/>
                  </w14:solidFill>
                </w14:textFill>
              </w:rPr>
            </w:pPr>
          </w:p>
        </w:tc>
        <w:tc>
          <w:tcPr>
            <w:tcW w:w="7654"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1、省级学校在2018—2021年平均输送率40%及以上。</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、地市级学校在2018—2021年平均输送率30%及以上。</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3" w:hRule="atLeast"/>
        </w:trPr>
        <w:tc>
          <w:tcPr>
            <w:tcW w:w="993" w:type="dxa"/>
            <w:vMerge w:val="continue"/>
            <w:tcBorders>
              <w:left w:val="single" w:color="auto" w:sz="4" w:space="0"/>
              <w:right w:val="single" w:color="auto" w:sz="4" w:space="0"/>
            </w:tcBorders>
            <w:shd w:val="clear" w:color="auto" w:fill="FFFFFF" w:themeFill="background1"/>
          </w:tcPr>
          <w:p>
            <w:pPr>
              <w:ind w:left="33"/>
              <w:jc w:val="center"/>
              <w:rPr>
                <w:rFonts w:ascii="宋体" w:hAnsi="宋体"/>
                <w:color w:val="000000" w:themeColor="text1"/>
                <w:sz w:val="24"/>
                <w14:textFill>
                  <w14:solidFill>
                    <w14:schemeClr w14:val="tx1"/>
                  </w14:solidFill>
                </w14:textFill>
              </w:rPr>
            </w:pPr>
          </w:p>
        </w:tc>
        <w:tc>
          <w:tcPr>
            <w:tcW w:w="7654"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1、省级学校在2018—2021年平均输送率30%及以上。</w:t>
            </w:r>
          </w:p>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、地市级学校在2018—2021年平均输送率20%及以上。</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93" w:type="dxa"/>
            <w:tcBorders>
              <w:left w:val="single" w:color="auto" w:sz="4" w:space="0"/>
              <w:right w:val="single" w:color="auto" w:sz="4" w:space="0"/>
            </w:tcBorders>
            <w:shd w:val="clear" w:color="auto" w:fill="FFFFFF" w:themeFill="background1"/>
          </w:tcPr>
          <w:p>
            <w:pPr>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输送</w:t>
            </w:r>
          </w:p>
          <w:p>
            <w:pPr>
              <w:ind w:left="33"/>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加分</w:t>
            </w:r>
          </w:p>
        </w:tc>
        <w:tc>
          <w:tcPr>
            <w:tcW w:w="7654" w:type="dxa"/>
            <w:tcBorders>
              <w:top w:val="single" w:color="auto" w:sz="4" w:space="0"/>
              <w:left w:val="single" w:color="auto" w:sz="4" w:space="0"/>
              <w:right w:val="single" w:color="auto" w:sz="4" w:space="0"/>
            </w:tcBorders>
            <w:shd w:val="clear" w:color="auto" w:fill="FFFFFF" w:themeFill="background1"/>
            <w:vAlign w:val="center"/>
          </w:tcPr>
          <w:p>
            <w:pPr>
              <w:rPr>
                <w:rFonts w:ascii="宋体" w:hAnsi="宋体"/>
                <w:color w:val="000000" w:themeColor="text1"/>
                <w:sz w:val="24"/>
                <w14:textFill>
                  <w14:solidFill>
                    <w14:schemeClr w14:val="tx1"/>
                  </w14:solidFill>
                </w14:textFill>
              </w:rPr>
            </w:pPr>
            <w:r>
              <w:rPr>
                <w:rFonts w:hint="eastAsia" w:ascii="宋体" w:hAnsi="宋体"/>
                <w:sz w:val="24"/>
              </w:rPr>
              <w:t>2018—2021年向国家少年队、国家青年队、国家队输送集训队员，进入集训大名单，每一名队员加10分，如进入亚洲及世界比赛12人名单，每一名队员加15分。</w:t>
            </w:r>
          </w:p>
        </w:tc>
        <w:tc>
          <w:tcPr>
            <w:tcW w:w="851" w:type="dxa"/>
            <w:tcBorders>
              <w:top w:val="single" w:color="auto" w:sz="4" w:space="0"/>
              <w:left w:val="single" w:color="auto" w:sz="4" w:space="0"/>
              <w:right w:val="single" w:color="auto" w:sz="4" w:space="0"/>
            </w:tcBorders>
            <w:shd w:val="clear" w:color="auto" w:fill="FFFFFF" w:themeFill="background1"/>
            <w:vAlign w:val="center"/>
          </w:tcPr>
          <w:p>
            <w:pPr>
              <w:widowControl/>
              <w:jc w:val="center"/>
              <w:rPr>
                <w:rFonts w:ascii="宋体" w:hAnsi="宋体"/>
                <w:color w:val="000000" w:themeColor="text1"/>
                <w:sz w:val="24"/>
                <w14:textFill>
                  <w14:solidFill>
                    <w14:schemeClr w14:val="tx1"/>
                  </w14:solidFill>
                </w14:textFill>
              </w:rPr>
            </w:pPr>
          </w:p>
        </w:tc>
      </w:tr>
    </w:tbl>
    <w:p>
      <w:pPr>
        <w:rPr>
          <w:rFonts w:ascii="宋体" w:hAnsi="宋体"/>
          <w:b/>
          <w:sz w:val="24"/>
        </w:rPr>
      </w:pPr>
    </w:p>
    <w:p>
      <w:pPr>
        <w:rPr>
          <w:rFonts w:ascii="宋体" w:hAnsi="宋体"/>
          <w:b/>
          <w:sz w:val="24"/>
        </w:rPr>
      </w:pPr>
    </w:p>
    <w:p>
      <w:pPr>
        <w:rPr>
          <w:rFonts w:ascii="宋体" w:hAnsi="宋体"/>
          <w:b/>
          <w:sz w:val="24"/>
        </w:rPr>
      </w:pPr>
    </w:p>
    <w:p>
      <w:pPr>
        <w:pStyle w:val="12"/>
        <w:spacing w:line="360" w:lineRule="exact"/>
        <w:rPr>
          <w:rFonts w:ascii="宋体" w:hAnsi="宋体" w:eastAsia="宋体"/>
          <w:color w:val="000000" w:themeColor="text1"/>
          <w:sz w:val="24"/>
          <w:szCs w:val="24"/>
          <w14:textFill>
            <w14:solidFill>
              <w14:schemeClr w14:val="tx1"/>
            </w14:solidFill>
          </w14:textFill>
        </w:rPr>
      </w:pPr>
    </w:p>
    <w:p>
      <w:pPr>
        <w:pStyle w:val="12"/>
        <w:spacing w:line="360" w:lineRule="exact"/>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全国排球高水平后备人才基地认定工作评分说明</w:t>
      </w:r>
    </w:p>
    <w:p>
      <w:pPr>
        <w:pStyle w:val="12"/>
        <w:spacing w:line="360" w:lineRule="exact"/>
        <w:rPr>
          <w:rFonts w:ascii="宋体" w:hAnsi="宋体" w:eastAsia="宋体"/>
          <w:color w:val="000000" w:themeColor="text1"/>
          <w:sz w:val="24"/>
          <w:szCs w:val="24"/>
          <w14:textFill>
            <w14:solidFill>
              <w14:schemeClr w14:val="tx1"/>
            </w14:solidFill>
          </w14:textFill>
        </w:rPr>
      </w:pPr>
    </w:p>
    <w:p>
      <w:pPr>
        <w:pStyle w:val="12"/>
        <w:numPr>
          <w:ilvl w:val="0"/>
          <w:numId w:val="6"/>
        </w:numPr>
        <w:spacing w:line="360" w:lineRule="exac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基础设施</w:t>
      </w:r>
    </w:p>
    <w:p>
      <w:pPr>
        <w:pStyle w:val="12"/>
        <w:numPr>
          <w:ilvl w:val="0"/>
          <w:numId w:val="7"/>
        </w:numPr>
        <w:spacing w:line="360" w:lineRule="exact"/>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设施及设备15%</w:t>
      </w:r>
    </w:p>
    <w:p>
      <w:pPr>
        <w:pStyle w:val="12"/>
        <w:numPr>
          <w:ilvl w:val="0"/>
          <w:numId w:val="8"/>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参评单位应具备独立的训练馆。若两个项目同在一馆内训练，但分别有各自的训练场地，视为具有相应的训练馆。</w:t>
      </w:r>
    </w:p>
    <w:p>
      <w:pPr>
        <w:pStyle w:val="12"/>
        <w:numPr>
          <w:ilvl w:val="0"/>
          <w:numId w:val="8"/>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排球训练场地应符合《排球规则（2017版）》中“球场及器材”的相关要求，具备排球比赛基本条件。</w:t>
      </w:r>
    </w:p>
    <w:p>
      <w:pPr>
        <w:pStyle w:val="12"/>
        <w:numPr>
          <w:ilvl w:val="0"/>
          <w:numId w:val="8"/>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凡无所有权的排球训练场（馆），但有100%使用权可视同有训练场地；长期（四年以上）租用场地及体教结合用场地可按实际场地计算。</w:t>
      </w:r>
    </w:p>
    <w:p>
      <w:pPr>
        <w:pStyle w:val="12"/>
        <w:numPr>
          <w:ilvl w:val="0"/>
          <w:numId w:val="8"/>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须提供排球场地平面图；无所有权的场地须同时提供使用、租用场地协议书。</w:t>
      </w:r>
    </w:p>
    <w:p>
      <w:pPr>
        <w:pStyle w:val="12"/>
        <w:numPr>
          <w:ilvl w:val="0"/>
          <w:numId w:val="8"/>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身体训练器材包括联合器械、杠铃、哑铃、壶铃、实心球、跳绳等。</w:t>
      </w:r>
    </w:p>
    <w:p>
      <w:pPr>
        <w:pStyle w:val="12"/>
        <w:spacing w:line="360" w:lineRule="exact"/>
        <w:ind w:left="425"/>
        <w:rPr>
          <w:rFonts w:ascii="宋体" w:hAnsi="宋体" w:eastAsia="宋体"/>
          <w:color w:val="000000" w:themeColor="text1"/>
          <w:sz w:val="24"/>
          <w:szCs w:val="24"/>
          <w14:textFill>
            <w14:solidFill>
              <w14:schemeClr w14:val="tx1"/>
            </w14:solidFill>
          </w14:textFill>
        </w:rPr>
      </w:pPr>
    </w:p>
    <w:p>
      <w:pPr>
        <w:pStyle w:val="12"/>
        <w:numPr>
          <w:ilvl w:val="0"/>
          <w:numId w:val="7"/>
        </w:numPr>
        <w:spacing w:line="360" w:lineRule="exact"/>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科研医务设施设备  5%</w:t>
      </w:r>
    </w:p>
    <w:p>
      <w:pPr>
        <w:pStyle w:val="12"/>
        <w:numPr>
          <w:ilvl w:val="0"/>
          <w:numId w:val="9"/>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科研医务室（所）应是隶属学校或隶属体育局的独立单位。县、区级学校可以由科学选材室代替。</w:t>
      </w:r>
    </w:p>
    <w:p>
      <w:pPr>
        <w:pStyle w:val="12"/>
        <w:numPr>
          <w:ilvl w:val="0"/>
          <w:numId w:val="9"/>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学校独立的科研医务室（所）专职人员界定：须是医学院医学专业或相关专业的本科及以上学历人员。</w:t>
      </w:r>
    </w:p>
    <w:p>
      <w:pPr>
        <w:pStyle w:val="12"/>
        <w:numPr>
          <w:ilvl w:val="0"/>
          <w:numId w:val="9"/>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认定依据：</w:t>
      </w:r>
    </w:p>
    <w:p>
      <w:pPr>
        <w:pStyle w:val="12"/>
        <w:spacing w:line="360" w:lineRule="exact"/>
        <w:ind w:left="42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（1）实地核查科研医务室（所）、仪器及相关设施设备；</w:t>
      </w:r>
    </w:p>
    <w:p>
      <w:pPr>
        <w:pStyle w:val="12"/>
        <w:spacing w:line="360" w:lineRule="exact"/>
        <w:ind w:left="42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（2）仪器设备帐册（实地、实物核查）；</w:t>
      </w:r>
    </w:p>
    <w:p>
      <w:pPr>
        <w:pStyle w:val="12"/>
        <w:spacing w:line="360" w:lineRule="exact"/>
        <w:ind w:left="42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（3）科研医务为选材、训练竞赛服务的年度工作计划及工作分析报告或工作总结。</w:t>
      </w:r>
    </w:p>
    <w:p>
      <w:pPr>
        <w:pStyle w:val="12"/>
        <w:numPr>
          <w:ilvl w:val="0"/>
          <w:numId w:val="9"/>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检查认定前四年工作资料（2018—2021年）。</w:t>
      </w:r>
    </w:p>
    <w:p>
      <w:pPr>
        <w:pStyle w:val="12"/>
        <w:spacing w:line="360" w:lineRule="exact"/>
        <w:ind w:left="425"/>
        <w:rPr>
          <w:rFonts w:ascii="宋体" w:hAnsi="宋体" w:eastAsia="宋体"/>
          <w:color w:val="000000" w:themeColor="text1"/>
          <w:sz w:val="24"/>
          <w:szCs w:val="24"/>
          <w14:textFill>
            <w14:solidFill>
              <w14:schemeClr w14:val="tx1"/>
            </w14:solidFill>
          </w14:textFill>
        </w:rPr>
      </w:pPr>
    </w:p>
    <w:p>
      <w:pPr>
        <w:pStyle w:val="12"/>
        <w:numPr>
          <w:ilvl w:val="0"/>
          <w:numId w:val="6"/>
        </w:numPr>
        <w:spacing w:line="360" w:lineRule="exac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pacing w:val="2"/>
          <w:sz w:val="24"/>
          <w:szCs w:val="24"/>
          <w14:textFill>
            <w14:solidFill>
              <w14:schemeClr w14:val="tx1"/>
            </w14:solidFill>
          </w14:textFill>
        </w:rPr>
        <w:t>教练员</w:t>
      </w:r>
    </w:p>
    <w:p>
      <w:pPr>
        <w:pStyle w:val="12"/>
        <w:numPr>
          <w:ilvl w:val="0"/>
          <w:numId w:val="10"/>
        </w:numPr>
        <w:spacing w:line="360" w:lineRule="exact"/>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 xml:space="preserve">基本要求 </w:t>
      </w:r>
      <w:r>
        <w:rPr>
          <w:rFonts w:ascii="宋体" w:hAnsi="宋体" w:eastAsia="宋体"/>
          <w:bCs/>
          <w:color w:val="000000" w:themeColor="text1"/>
          <w:sz w:val="24"/>
          <w:szCs w:val="24"/>
          <w14:textFill>
            <w14:solidFill>
              <w14:schemeClr w14:val="tx1"/>
            </w14:solidFill>
          </w14:textFill>
        </w:rPr>
        <w:t>1</w:t>
      </w:r>
      <w:r>
        <w:rPr>
          <w:rFonts w:hint="eastAsia" w:ascii="宋体" w:hAnsi="宋体" w:eastAsia="宋体"/>
          <w:bCs/>
          <w:color w:val="000000" w:themeColor="text1"/>
          <w:sz w:val="24"/>
          <w:szCs w:val="24"/>
          <w14:textFill>
            <w14:solidFill>
              <w14:schemeClr w14:val="tx1"/>
            </w14:solidFill>
          </w14:textFill>
        </w:rPr>
        <w:t>0%</w:t>
      </w:r>
    </w:p>
    <w:p>
      <w:pPr>
        <w:pStyle w:val="12"/>
        <w:numPr>
          <w:ilvl w:val="0"/>
          <w:numId w:val="10"/>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教练员是指学校从事人才培养训练工作的专职、兼职、聘任、返聘的人员。（下同）</w:t>
      </w:r>
    </w:p>
    <w:p>
      <w:pPr>
        <w:pStyle w:val="12"/>
        <w:numPr>
          <w:ilvl w:val="0"/>
          <w:numId w:val="11"/>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高级教练员是指具有高级职称的教练员（含副教授、高级讲师、高级教师、小教超高）。</w:t>
      </w:r>
    </w:p>
    <w:p>
      <w:pPr>
        <w:pStyle w:val="12"/>
        <w:numPr>
          <w:ilvl w:val="0"/>
          <w:numId w:val="11"/>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认定依据：</w:t>
      </w:r>
    </w:p>
    <w:p>
      <w:pPr>
        <w:pStyle w:val="12"/>
        <w:spacing w:line="360" w:lineRule="exact"/>
        <w:ind w:left="42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（1）高级教练员或副教授、高级讲师、高级教师、小学超高职称资格证原件，教练员聘任证书；</w:t>
      </w:r>
    </w:p>
    <w:p>
      <w:pPr>
        <w:pStyle w:val="12"/>
        <w:spacing w:line="360" w:lineRule="exact"/>
        <w:ind w:left="42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（2）教练员考核资料（包括兼职、返聘人员资料）；</w:t>
      </w:r>
    </w:p>
    <w:p>
      <w:pPr>
        <w:pStyle w:val="12"/>
        <w:spacing w:line="360" w:lineRule="exact"/>
        <w:ind w:left="42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（3）退休返聘教练员批文；</w:t>
      </w:r>
    </w:p>
    <w:p>
      <w:pPr>
        <w:pStyle w:val="12"/>
        <w:spacing w:line="360" w:lineRule="exact"/>
        <w:ind w:left="42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（4）聘任时间不少于3年；</w:t>
      </w:r>
    </w:p>
    <w:p>
      <w:pPr>
        <w:pStyle w:val="12"/>
        <w:spacing w:line="360" w:lineRule="exact"/>
        <w:ind w:left="425"/>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（5）计算方法：高级教练员人数/教练员总数×100%。每降低1个百分点扣2分。</w:t>
      </w:r>
    </w:p>
    <w:p>
      <w:pPr>
        <w:pStyle w:val="12"/>
        <w:numPr>
          <w:ilvl w:val="0"/>
          <w:numId w:val="11"/>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学校聘任的教练员应当符合国家规定的教练员资格和任职条件。</w:t>
      </w:r>
    </w:p>
    <w:p>
      <w:pPr>
        <w:pStyle w:val="12"/>
        <w:numPr>
          <w:ilvl w:val="0"/>
          <w:numId w:val="11"/>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教练员学历以国家承认其学历的院校所颁发的毕业证原件为准。</w:t>
      </w:r>
    </w:p>
    <w:p>
      <w:pPr>
        <w:pStyle w:val="12"/>
        <w:numPr>
          <w:ilvl w:val="0"/>
          <w:numId w:val="11"/>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认定依据：教练员毕业证书原件、身份证原件。</w:t>
      </w:r>
    </w:p>
    <w:p>
      <w:pPr>
        <w:pStyle w:val="12"/>
        <w:numPr>
          <w:ilvl w:val="0"/>
          <w:numId w:val="11"/>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计算方法：具有本科学历的教练员人数/教练员总数×100%。每降低1个百分点扣1分。</w:t>
      </w:r>
    </w:p>
    <w:p>
      <w:pPr>
        <w:pStyle w:val="12"/>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说明：在训学生人数需以建立学生档案者为准。</w:t>
      </w:r>
    </w:p>
    <w:p>
      <w:pPr>
        <w:pStyle w:val="12"/>
        <w:spacing w:line="360" w:lineRule="exact"/>
        <w:jc w:val="left"/>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 xml:space="preserve">（四）教练员培训 5% </w:t>
      </w:r>
    </w:p>
    <w:p>
      <w:pPr>
        <w:pStyle w:val="12"/>
        <w:spacing w:line="360" w:lineRule="exact"/>
        <w:ind w:firstLine="480" w:firstLineChars="200"/>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教练员培训指体育或教育主管部门主办的岗位培训、短期培训、各类讲座等继续教育类培训。</w:t>
      </w:r>
    </w:p>
    <w:p>
      <w:pPr>
        <w:pStyle w:val="12"/>
        <w:numPr>
          <w:ilvl w:val="0"/>
          <w:numId w:val="12"/>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中等体育运动学校、地市级以上少体校教练员参加市级及以上体育或教育部门组织的各类培训方可予以统计。</w:t>
      </w:r>
    </w:p>
    <w:p>
      <w:pPr>
        <w:pStyle w:val="12"/>
        <w:numPr>
          <w:ilvl w:val="0"/>
          <w:numId w:val="12"/>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学校须有教练员总体培训规划、培训总结及相关资料。</w:t>
      </w:r>
    </w:p>
    <w:p>
      <w:pPr>
        <w:pStyle w:val="12"/>
        <w:numPr>
          <w:ilvl w:val="0"/>
          <w:numId w:val="12"/>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教练员培训资料包括：含培训内容、培训时间、培训地点、培训对象的培训通知，以及教练员的听课笔记、学习总结及考核结果等能够证明参加培训的原始资料。</w:t>
      </w:r>
    </w:p>
    <w:p>
      <w:pPr>
        <w:pStyle w:val="12"/>
        <w:numPr>
          <w:ilvl w:val="0"/>
          <w:numId w:val="12"/>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检查认定前四年工作资料（2018—2021年）。</w:t>
      </w:r>
    </w:p>
    <w:p>
      <w:pPr>
        <w:pStyle w:val="12"/>
        <w:numPr>
          <w:ilvl w:val="0"/>
          <w:numId w:val="12"/>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计算方法：每年参加培训的教练员人数/教练员总数×100%，计算四年的平均数。每降低1个百分点扣2分。</w:t>
      </w:r>
    </w:p>
    <w:p>
      <w:pPr>
        <w:pStyle w:val="12"/>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说明：教练员职称、教练员学历2个条目需提供教练员业务档案、教练员技术职称资格证书、任职通知书、毕业证书、聘任书、全校教职工花名册、教练花名册、工资花名册。以上材料均需提供复印件（原始证件备查）。</w:t>
      </w:r>
    </w:p>
    <w:p>
      <w:pPr>
        <w:pStyle w:val="12"/>
        <w:spacing w:line="360" w:lineRule="exact"/>
        <w:ind w:left="425"/>
        <w:rPr>
          <w:rFonts w:ascii="宋体" w:hAnsi="宋体" w:eastAsia="宋体"/>
          <w:color w:val="000000" w:themeColor="text1"/>
          <w:sz w:val="24"/>
          <w:szCs w:val="24"/>
          <w14:textFill>
            <w14:solidFill>
              <w14:schemeClr w14:val="tx1"/>
            </w14:solidFill>
          </w14:textFill>
        </w:rPr>
      </w:pPr>
    </w:p>
    <w:p>
      <w:pPr>
        <w:pStyle w:val="12"/>
        <w:numPr>
          <w:ilvl w:val="0"/>
          <w:numId w:val="6"/>
        </w:numPr>
        <w:spacing w:line="360" w:lineRule="exac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教学训练</w:t>
      </w:r>
    </w:p>
    <w:p>
      <w:pPr>
        <w:pStyle w:val="12"/>
        <w:numPr>
          <w:ilvl w:val="0"/>
          <w:numId w:val="13"/>
        </w:numPr>
        <w:spacing w:line="360" w:lineRule="exact"/>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训练计划及执行10%</w:t>
      </w:r>
    </w:p>
    <w:p>
      <w:pPr>
        <w:pStyle w:val="12"/>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训练计划应体现全年训练不低于280个训练日（含竞赛），每天训练时间控制在3.5小时以内（含早操）。义务教育阶段的学生每天训练时间原则上控制在2.5小时之内（含早操）。训练计划的安排应符合在训青少年年龄段的生理心理特点。</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教练员训练计划及总结包括：年度训练计划及总结、阶段训练计划、周训练计划、课时训练计划。</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年度训练计划包括：</w:t>
      </w:r>
    </w:p>
    <w:p>
      <w:pPr>
        <w:pStyle w:val="12"/>
        <w:numPr>
          <w:ilvl w:val="0"/>
          <w:numId w:val="1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全年训练基本任务；</w:t>
      </w:r>
    </w:p>
    <w:p>
      <w:pPr>
        <w:pStyle w:val="12"/>
        <w:numPr>
          <w:ilvl w:val="0"/>
          <w:numId w:val="1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制定全年运动员身体素质、专项技能成绩目标；</w:t>
      </w:r>
    </w:p>
    <w:p>
      <w:pPr>
        <w:pStyle w:val="12"/>
        <w:numPr>
          <w:ilvl w:val="0"/>
          <w:numId w:val="1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全年训练周期的划分，各阶段训练目标任务、训练时数及训练基本方法与手段；</w:t>
      </w:r>
    </w:p>
    <w:p>
      <w:pPr>
        <w:pStyle w:val="12"/>
        <w:numPr>
          <w:ilvl w:val="0"/>
          <w:numId w:val="1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对重点运动员的个体分析；</w:t>
      </w:r>
    </w:p>
    <w:p>
      <w:pPr>
        <w:pStyle w:val="12"/>
        <w:numPr>
          <w:ilvl w:val="0"/>
          <w:numId w:val="1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全年训练负荷、比赛及定期综合考核的安排；</w:t>
      </w:r>
    </w:p>
    <w:p>
      <w:pPr>
        <w:pStyle w:val="12"/>
        <w:numPr>
          <w:ilvl w:val="0"/>
          <w:numId w:val="1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全年检查和测定各项训练指标的时间和次数；</w:t>
      </w:r>
    </w:p>
    <w:p>
      <w:pPr>
        <w:pStyle w:val="12"/>
        <w:numPr>
          <w:ilvl w:val="0"/>
          <w:numId w:val="1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实施全年训练计划的具体措施。</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阶段训练计划包括：</w:t>
      </w:r>
    </w:p>
    <w:p>
      <w:pPr>
        <w:pStyle w:val="12"/>
        <w:numPr>
          <w:ilvl w:val="0"/>
          <w:numId w:val="16"/>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阶段训练的目标任务，各项训练内容的比例安排；</w:t>
      </w:r>
    </w:p>
    <w:p>
      <w:pPr>
        <w:pStyle w:val="12"/>
        <w:numPr>
          <w:ilvl w:val="0"/>
          <w:numId w:val="16"/>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阶段训练的方法手段及运动负荷的具体安排。</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年度训练总结</w:t>
      </w:r>
    </w:p>
    <w:p>
      <w:pPr>
        <w:pStyle w:val="12"/>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年度训练总结应包含全年训练计划的实施情况（突出重点队员执行情况），目标任务完成情况，训练竞赛过程中的经验体会，分析存在的缺点与不足，提出下一年度努力目标及达成目标的方法与措施；要有数据，有分析。</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周训练计划包括：</w:t>
      </w:r>
    </w:p>
    <w:p>
      <w:pPr>
        <w:pStyle w:val="12"/>
        <w:numPr>
          <w:ilvl w:val="0"/>
          <w:numId w:val="17"/>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课的划分；</w:t>
      </w:r>
    </w:p>
    <w:p>
      <w:pPr>
        <w:pStyle w:val="12"/>
        <w:numPr>
          <w:ilvl w:val="0"/>
          <w:numId w:val="17"/>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时间安排；</w:t>
      </w:r>
    </w:p>
    <w:p>
      <w:pPr>
        <w:pStyle w:val="12"/>
        <w:numPr>
          <w:ilvl w:val="0"/>
          <w:numId w:val="17"/>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运动量的安排。</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课时计划包括：</w:t>
      </w:r>
    </w:p>
    <w:p>
      <w:pPr>
        <w:pStyle w:val="12"/>
        <w:numPr>
          <w:ilvl w:val="0"/>
          <w:numId w:val="18"/>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课的任务、负荷及完成任务的要求；</w:t>
      </w:r>
    </w:p>
    <w:p>
      <w:pPr>
        <w:pStyle w:val="12"/>
        <w:numPr>
          <w:ilvl w:val="0"/>
          <w:numId w:val="18"/>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准备部分、基本部分、结束部分的训练时间安排及训练方法与手段；</w:t>
      </w:r>
    </w:p>
    <w:p>
      <w:pPr>
        <w:pStyle w:val="12"/>
        <w:numPr>
          <w:ilvl w:val="0"/>
          <w:numId w:val="18"/>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课后小结（课的执行情况记录，须包括训练对象完成训练任务的量化分析及对下一训练课实施的建议。凡在本次课时间内进行的跟踪测试，要有测试结果及评价。）</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检查界定：</w:t>
      </w:r>
    </w:p>
    <w:p>
      <w:pPr>
        <w:pStyle w:val="12"/>
        <w:numPr>
          <w:ilvl w:val="0"/>
          <w:numId w:val="19"/>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在2-6项中，如缺少一大项即为不齐全，不予统计；</w:t>
      </w:r>
    </w:p>
    <w:p>
      <w:pPr>
        <w:pStyle w:val="12"/>
        <w:numPr>
          <w:ilvl w:val="0"/>
          <w:numId w:val="19"/>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在2-6项中的15个小项中，如缺少1—3项内容，可视为齐全，予以统计；</w:t>
      </w:r>
    </w:p>
    <w:p>
      <w:pPr>
        <w:pStyle w:val="12"/>
        <w:numPr>
          <w:ilvl w:val="0"/>
          <w:numId w:val="19"/>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在2-6项中的15个小项中，如缺少4项及以上内容，即为不齐全，不予统计。</w:t>
      </w:r>
    </w:p>
    <w:p>
      <w:pPr>
        <w:pStyle w:val="12"/>
        <w:spacing w:line="360" w:lineRule="exact"/>
        <w:ind w:left="48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检查认定前四年工作资料（含检查认定当年）。</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计算方法：训练计划齐全规范的教练员人数/教练员总数×100%。每降低1个百分点扣1分。</w:t>
      </w:r>
    </w:p>
    <w:p>
      <w:pPr>
        <w:pStyle w:val="12"/>
        <w:numPr>
          <w:ilvl w:val="0"/>
          <w:numId w:val="14"/>
        </w:numPr>
        <w:spacing w:line="360" w:lineRule="exact"/>
        <w:ind w:left="0" w:firstLine="424" w:firstLineChars="177"/>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训练课的检查：检查教练员训练计划执行情况，评价训练课的质量。高质量训练课的标准为：①组织严密；②重点内容突出；③训练方法手段先进合理并具有针对性；④运动负荷适宜；⑤训练符合在训青少年年龄段的生理心理特点；⑥学生课堂表现积极，很好完成训练任务。以上六个方面，每1项按优、良、合格3个档次记分，任意1项降低1个档次扣2分。</w:t>
      </w:r>
    </w:p>
    <w:p>
      <w:pPr>
        <w:pStyle w:val="12"/>
        <w:spacing w:line="360" w:lineRule="exact"/>
        <w:ind w:left="425"/>
        <w:rPr>
          <w:rFonts w:ascii="宋体" w:hAnsi="宋体" w:eastAsia="宋体"/>
          <w:color w:val="000000" w:themeColor="text1"/>
          <w:sz w:val="24"/>
          <w:szCs w:val="24"/>
          <w14:textFill>
            <w14:solidFill>
              <w14:schemeClr w14:val="tx1"/>
            </w14:solidFill>
          </w14:textFill>
        </w:rPr>
      </w:pPr>
    </w:p>
    <w:p>
      <w:pPr>
        <w:pStyle w:val="12"/>
        <w:numPr>
          <w:ilvl w:val="0"/>
          <w:numId w:val="13"/>
        </w:numPr>
        <w:spacing w:line="360" w:lineRule="exact"/>
        <w:rPr>
          <w:rFonts w:ascii="宋体" w:hAnsi="宋体" w:eastAsia="宋体"/>
          <w:bCs/>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训练大纲考核5%</w:t>
      </w:r>
    </w:p>
    <w:p>
      <w:pPr>
        <w:pStyle w:val="12"/>
        <w:numPr>
          <w:ilvl w:val="0"/>
          <w:numId w:val="20"/>
        </w:numPr>
        <w:spacing w:line="360" w:lineRule="exact"/>
        <w:ind w:left="0" w:firstLine="426"/>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每年需依照《中国青少年排球训练教学大纲》测试标准测定一次。</w:t>
      </w:r>
    </w:p>
    <w:p>
      <w:pPr>
        <w:pStyle w:val="12"/>
        <w:numPr>
          <w:ilvl w:val="0"/>
          <w:numId w:val="20"/>
        </w:numPr>
        <w:spacing w:line="360" w:lineRule="exact"/>
        <w:ind w:left="0" w:firstLine="426"/>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参加大纲测试的学生界定：在编在册的从事运动训练的学生（师资班、优秀运动队不计算在内）。</w:t>
      </w:r>
    </w:p>
    <w:p>
      <w:pPr>
        <w:pStyle w:val="12"/>
        <w:numPr>
          <w:ilvl w:val="0"/>
          <w:numId w:val="20"/>
        </w:numPr>
        <w:spacing w:line="360" w:lineRule="exact"/>
        <w:ind w:left="0" w:firstLine="426"/>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检查认定前四年工作资料（2018—2021年）</w:t>
      </w:r>
    </w:p>
    <w:p>
      <w:pPr>
        <w:pStyle w:val="12"/>
        <w:numPr>
          <w:ilvl w:val="0"/>
          <w:numId w:val="20"/>
        </w:numPr>
        <w:spacing w:line="360" w:lineRule="exact"/>
        <w:ind w:left="0" w:firstLine="426"/>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测评依据：</w:t>
      </w:r>
    </w:p>
    <w:p>
      <w:pPr>
        <w:pStyle w:val="12"/>
        <w:numPr>
          <w:ilvl w:val="0"/>
          <w:numId w:val="21"/>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学校大纲综合考核评定工作的制度、办法、工作记录、总结及有关资料；</w:t>
      </w:r>
    </w:p>
    <w:p>
      <w:pPr>
        <w:pStyle w:val="12"/>
        <w:numPr>
          <w:ilvl w:val="0"/>
          <w:numId w:val="21"/>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分年度学校在训人员花名册。</w:t>
      </w:r>
    </w:p>
    <w:p>
      <w:pPr>
        <w:pStyle w:val="12"/>
        <w:numPr>
          <w:ilvl w:val="0"/>
          <w:numId w:val="1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bCs/>
          <w:color w:val="000000" w:themeColor="text1"/>
          <w:sz w:val="24"/>
          <w:szCs w:val="24"/>
          <w14:textFill>
            <w14:solidFill>
              <w14:schemeClr w14:val="tx1"/>
            </w14:solidFill>
          </w14:textFill>
        </w:rPr>
        <w:t xml:space="preserve">训练常规管理10% </w:t>
      </w:r>
    </w:p>
    <w:p>
      <w:pPr>
        <w:pStyle w:val="12"/>
        <w:numPr>
          <w:ilvl w:val="0"/>
          <w:numId w:val="22"/>
        </w:numPr>
        <w:spacing w:line="360" w:lineRule="exact"/>
        <w:ind w:left="0" w:firstLine="426"/>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学校竞训部门有完善的管理制度和办法，完善的教练员管理制度和办法，完善的运动员管理制度和办法，有工作计划及总结，日常管理工作记录等，有基础材料和原始资料。材料的整理、归类、存档要齐全、规范、完整。相关资料应存入计算机管理。</w:t>
      </w:r>
    </w:p>
    <w:p>
      <w:pPr>
        <w:pStyle w:val="12"/>
        <w:numPr>
          <w:ilvl w:val="0"/>
          <w:numId w:val="22"/>
        </w:numPr>
        <w:spacing w:line="360" w:lineRule="exact"/>
        <w:ind w:left="0" w:firstLine="426"/>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认定依据：</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训练部门常规管理制度汇编；</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训练部门工作职责及工作人员岗位职责；</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学校训练部门中、远期训练规划；</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训练部门年度工作计划及总结；</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教练员年度考核办法与考核原始资料； </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教练员业务培训、研讨活动的工作计划及总结（有原始记录材料）。</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训练课质量检查的标准及检查的原始记录；</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训练计划的检查记录及评价记录；</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教练员岗位聘用责任书； </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各运动队年度工作计划及总结；</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各运动队参赛计划及赛后总结；</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运动员选材原始资料；</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运动员技术档案（与运动员人才库信息一致）；</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重点运动员训练监控过程记录；</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运动员进、退队审批表；</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各项目在训运动员花名册（提供本周期分年度名册）；</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运动员参加各级各类比赛成绩登记汇总；</w:t>
      </w:r>
    </w:p>
    <w:p>
      <w:pPr>
        <w:pStyle w:val="12"/>
        <w:numPr>
          <w:ilvl w:val="0"/>
          <w:numId w:val="23"/>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各项目年度比赛成绩册、秩序册及各种文件、通知等。</w:t>
      </w:r>
    </w:p>
    <w:p>
      <w:pPr>
        <w:pStyle w:val="12"/>
        <w:numPr>
          <w:ilvl w:val="0"/>
          <w:numId w:val="22"/>
        </w:numPr>
        <w:spacing w:line="360" w:lineRule="exact"/>
        <w:ind w:left="0" w:firstLine="426"/>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检查认定前四年工作资料（2018—2021年）。</w:t>
      </w:r>
    </w:p>
    <w:p>
      <w:pPr>
        <w:pStyle w:val="12"/>
        <w:spacing w:line="360" w:lineRule="exact"/>
        <w:ind w:left="426"/>
        <w:rPr>
          <w:rFonts w:ascii="宋体" w:hAnsi="宋体" w:eastAsia="宋体"/>
          <w:color w:val="000000" w:themeColor="text1"/>
          <w:sz w:val="24"/>
          <w:szCs w:val="24"/>
          <w14:textFill>
            <w14:solidFill>
              <w14:schemeClr w14:val="tx1"/>
            </w14:solidFill>
          </w14:textFill>
        </w:rPr>
      </w:pPr>
    </w:p>
    <w:p>
      <w:pPr>
        <w:ind w:firstLine="480" w:firstLineChars="200"/>
        <w:rPr>
          <w:rFonts w:ascii="宋体" w:hAnsi="宋体" w:cs="Arial Unicode MS"/>
          <w:color w:val="000000" w:themeColor="text1"/>
          <w:sz w:val="24"/>
          <w14:textFill>
            <w14:solidFill>
              <w14:schemeClr w14:val="tx1"/>
            </w14:solidFill>
          </w14:textFill>
        </w:rPr>
      </w:pPr>
      <w:r>
        <w:rPr>
          <w:rFonts w:hint="eastAsia" w:ascii="宋体" w:hAnsi="宋体" w:cs="Arial Unicode MS"/>
          <w:color w:val="000000" w:themeColor="text1"/>
          <w:sz w:val="24"/>
          <w14:textFill>
            <w14:solidFill>
              <w14:schemeClr w14:val="tx1"/>
            </w14:solidFill>
          </w14:textFill>
        </w:rPr>
        <w:t xml:space="preserve">（四）人才库5% </w:t>
      </w:r>
    </w:p>
    <w:p>
      <w:pPr>
        <w:pStyle w:val="13"/>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1、学校有招生选材管理制度及资料。</w:t>
      </w:r>
    </w:p>
    <w:p>
      <w:pPr>
        <w:pStyle w:val="13"/>
        <w:spacing w:line="360" w:lineRule="exact"/>
        <w:ind w:left="420" w:leftChars="2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、运动员人才库应包括：自然情况、形态、机能、生理、生化、一般身体素质、专2、项素质及专项技术等内容；参赛、输送、伤病、大纲考核、文化课成绩等资料记录。</w:t>
      </w:r>
    </w:p>
    <w:p>
      <w:pPr>
        <w:pStyle w:val="13"/>
        <w:spacing w:line="360" w:lineRule="exact"/>
        <w:ind w:left="240" w:firstLine="240" w:firstLineChars="1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4</w:t>
      </w:r>
      <w:r>
        <w:rPr>
          <w:rFonts w:hint="eastAsia" w:ascii="宋体" w:hAnsi="宋体" w:eastAsia="宋体"/>
          <w:color w:val="000000" w:themeColor="text1"/>
          <w:sz w:val="24"/>
          <w:szCs w:val="24"/>
          <w14:textFill>
            <w14:solidFill>
              <w14:schemeClr w14:val="tx1"/>
            </w14:solidFill>
          </w14:textFill>
        </w:rPr>
        <w:t>、人才库每年至少有两次测试内容的记录。</w:t>
      </w:r>
    </w:p>
    <w:p>
      <w:pPr>
        <w:pStyle w:val="13"/>
        <w:spacing w:line="360" w:lineRule="exact"/>
        <w:ind w:left="240" w:firstLine="240" w:firstLineChars="10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5</w:t>
      </w:r>
      <w:r>
        <w:rPr>
          <w:rFonts w:hint="eastAsia" w:ascii="宋体" w:hAnsi="宋体" w:eastAsia="宋体"/>
          <w:color w:val="000000" w:themeColor="text1"/>
          <w:sz w:val="24"/>
          <w:szCs w:val="24"/>
          <w14:textFill>
            <w14:solidFill>
              <w14:schemeClr w14:val="tx1"/>
            </w14:solidFill>
          </w14:textFill>
        </w:rPr>
        <w:t>、运动员专项技术档案逐项检测填写，内容要齐全、规范。</w:t>
      </w:r>
    </w:p>
    <w:p>
      <w:pPr>
        <w:pStyle w:val="13"/>
        <w:spacing w:line="360" w:lineRule="exact"/>
        <w:ind w:left="24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检查认定前四年工作资料（2018—2021年）</w:t>
      </w:r>
    </w:p>
    <w:p>
      <w:pPr>
        <w:pStyle w:val="13"/>
        <w:spacing w:line="360" w:lineRule="exact"/>
        <w:ind w:firstLine="360" w:firstLineChars="150"/>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6</w:t>
      </w:r>
      <w:r>
        <w:rPr>
          <w:rFonts w:hint="eastAsia" w:ascii="宋体" w:hAnsi="宋体" w:eastAsia="宋体"/>
          <w:color w:val="000000" w:themeColor="text1"/>
          <w:sz w:val="24"/>
          <w:szCs w:val="24"/>
          <w14:textFill>
            <w14:solidFill>
              <w14:schemeClr w14:val="tx1"/>
            </w14:solidFill>
          </w14:textFill>
        </w:rPr>
        <w:t>、计算方法：入库学生数/学生总数×100%。每降低1个百分点扣2分。</w:t>
      </w:r>
    </w:p>
    <w:p>
      <w:pPr>
        <w:pStyle w:val="13"/>
        <w:spacing w:line="360" w:lineRule="auto"/>
        <w:rPr>
          <w:rFonts w:asciiTheme="majorEastAsia" w:hAnsiTheme="majorEastAsia" w:eastAsiaTheme="majorEastAsia"/>
          <w:bCs/>
          <w:color w:val="000000" w:themeColor="text1"/>
          <w:sz w:val="24"/>
          <w:szCs w:val="24"/>
          <w14:textFill>
            <w14:solidFill>
              <w14:schemeClr w14:val="tx1"/>
            </w14:solidFill>
          </w14:textFill>
        </w:rPr>
      </w:pPr>
      <w:r>
        <w:rPr>
          <w:rFonts w:hint="eastAsia" w:asciiTheme="majorEastAsia" w:hAnsiTheme="majorEastAsia" w:eastAsiaTheme="majorEastAsia"/>
          <w:bCs/>
          <w:color w:val="000000" w:themeColor="text1"/>
          <w:sz w:val="24"/>
          <w:szCs w:val="24"/>
          <w14:textFill>
            <w14:solidFill>
              <w14:schemeClr w14:val="tx1"/>
            </w14:solidFill>
          </w14:textFill>
        </w:rPr>
        <w:t>（五）队员</w:t>
      </w:r>
      <w:r>
        <w:rPr>
          <w:rFonts w:asciiTheme="majorEastAsia" w:hAnsiTheme="majorEastAsia" w:eastAsiaTheme="majorEastAsia"/>
          <w:bCs/>
          <w:color w:val="000000" w:themeColor="text1"/>
          <w:sz w:val="24"/>
          <w:szCs w:val="24"/>
          <w14:textFill>
            <w14:solidFill>
              <w14:schemeClr w14:val="tx1"/>
            </w14:solidFill>
          </w14:textFill>
        </w:rPr>
        <w:t>文化学习</w:t>
      </w:r>
      <w:r>
        <w:rPr>
          <w:rFonts w:hint="eastAsia" w:asciiTheme="majorEastAsia" w:hAnsiTheme="majorEastAsia" w:eastAsiaTheme="majorEastAsia"/>
          <w:bCs/>
          <w:color w:val="000000" w:themeColor="text1"/>
          <w:sz w:val="24"/>
          <w:szCs w:val="24"/>
          <w14:textFill>
            <w14:solidFill>
              <w14:schemeClr w14:val="tx1"/>
            </w14:solidFill>
          </w14:textFill>
        </w:rPr>
        <w:t xml:space="preserve"> 5</w:t>
      </w:r>
      <w:r>
        <w:rPr>
          <w:rFonts w:asciiTheme="majorEastAsia" w:hAnsiTheme="majorEastAsia" w:eastAsiaTheme="majorEastAsia"/>
          <w:bCs/>
          <w:color w:val="000000" w:themeColor="text1"/>
          <w:sz w:val="24"/>
          <w:szCs w:val="24"/>
          <w14:textFill>
            <w14:solidFill>
              <w14:schemeClr w14:val="tx1"/>
            </w14:solidFill>
          </w14:textFill>
        </w:rPr>
        <w:t>%</w:t>
      </w:r>
    </w:p>
    <w:p>
      <w:pPr>
        <w:spacing w:line="276"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1</w:t>
      </w:r>
      <w:r>
        <w:rPr>
          <w:rFonts w:hint="eastAsia" w:asciiTheme="majorEastAsia" w:hAnsiTheme="majorEastAsia" w:eastAsiaTheme="majorEastAsia" w:cstheme="majorEastAsia"/>
          <w:color w:val="000000" w:themeColor="text1"/>
          <w:sz w:val="24"/>
          <w14:textFill>
            <w14:solidFill>
              <w14:schemeClr w14:val="tx1"/>
            </w14:solidFill>
          </w14:textFill>
        </w:rPr>
        <w:t>、文化课学习方面，有与办学规模相适应，满足教学需要独立的教室、实验室，计算机室、图书室、多媒体、教师及教学仪器、设施、设备（实地核查）。</w:t>
      </w:r>
    </w:p>
    <w:p>
      <w:pPr>
        <w:spacing w:line="276"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2</w:t>
      </w:r>
      <w:r>
        <w:rPr>
          <w:rFonts w:hint="eastAsia" w:asciiTheme="majorEastAsia" w:hAnsiTheme="majorEastAsia" w:eastAsiaTheme="majorEastAsia" w:cstheme="majorEastAsia"/>
          <w:color w:val="000000" w:themeColor="text1"/>
          <w:sz w:val="24"/>
          <w14:textFill>
            <w14:solidFill>
              <w14:schemeClr w14:val="tx1"/>
            </w14:solidFill>
          </w14:textFill>
        </w:rPr>
        <w:t>、体教结合的学校其教室、实验室、计算机室、图书室及多媒体教室无所有权，但有100%的使用权可视为有教室设施设备（实地考核），必须提供联合办学的相关文件和协议书（四年）。</w:t>
      </w:r>
    </w:p>
    <w:p>
      <w:pPr>
        <w:spacing w:line="276"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3</w:t>
      </w:r>
      <w:r>
        <w:rPr>
          <w:rFonts w:hint="eastAsia" w:asciiTheme="majorEastAsia" w:hAnsiTheme="majorEastAsia" w:eastAsiaTheme="majorEastAsia" w:cstheme="majorEastAsia"/>
          <w:color w:val="000000" w:themeColor="text1"/>
          <w:sz w:val="24"/>
          <w14:textFill>
            <w14:solidFill>
              <w14:schemeClr w14:val="tx1"/>
            </w14:solidFill>
          </w14:textFill>
        </w:rPr>
        <w:t>、没有教学任务的体校，学校需提供学生就读学校分布表，学生的学籍卡，就读证明和学生成绩证明等资料。</w:t>
      </w:r>
    </w:p>
    <w:p>
      <w:pPr>
        <w:spacing w:line="276"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4</w:t>
      </w:r>
      <w:r>
        <w:rPr>
          <w:rFonts w:hint="eastAsia" w:asciiTheme="majorEastAsia" w:hAnsiTheme="majorEastAsia" w:eastAsiaTheme="majorEastAsia" w:cstheme="majorEastAsia"/>
          <w:color w:val="000000" w:themeColor="text1"/>
          <w:sz w:val="24"/>
          <w14:textFill>
            <w14:solidFill>
              <w14:schemeClr w14:val="tx1"/>
            </w14:solidFill>
          </w14:textFill>
        </w:rPr>
        <w:t>、参加排球项目训练的运动员文化课就读率应是100%，否则此条目不计分。</w:t>
      </w:r>
    </w:p>
    <w:p>
      <w:pPr>
        <w:spacing w:line="276" w:lineRule="auto"/>
        <w:ind w:firstLine="480" w:firstLineChars="200"/>
        <w:rPr>
          <w:rFonts w:asciiTheme="majorEastAsia" w:hAnsiTheme="majorEastAsia" w:eastAsiaTheme="majorEastAsia" w:cstheme="majorEastAsia"/>
          <w:color w:val="000000" w:themeColor="text1"/>
          <w:sz w:val="24"/>
          <w14:textFill>
            <w14:solidFill>
              <w14:schemeClr w14:val="tx1"/>
            </w14:solidFill>
          </w14:textFill>
        </w:rPr>
      </w:pPr>
      <w:r>
        <w:rPr>
          <w:rFonts w:asciiTheme="majorEastAsia" w:hAnsiTheme="majorEastAsia" w:eastAsiaTheme="majorEastAsia" w:cstheme="majorEastAsia"/>
          <w:color w:val="000000" w:themeColor="text1"/>
          <w:sz w:val="24"/>
          <w14:textFill>
            <w14:solidFill>
              <w14:schemeClr w14:val="tx1"/>
            </w14:solidFill>
          </w14:textFill>
        </w:rPr>
        <w:t>5</w:t>
      </w:r>
      <w:r>
        <w:rPr>
          <w:rFonts w:hint="eastAsia" w:asciiTheme="majorEastAsia" w:hAnsiTheme="majorEastAsia" w:eastAsiaTheme="majorEastAsia" w:cstheme="majorEastAsia"/>
          <w:color w:val="000000" w:themeColor="text1"/>
          <w:sz w:val="24"/>
          <w14:textFill>
            <w14:solidFill>
              <w14:schemeClr w14:val="tx1"/>
            </w14:solidFill>
          </w14:textFill>
        </w:rPr>
        <w:t>、中等专业学校文化课学习每年不少于630学时；九年义务教育按照教育部门相关规定执行。</w:t>
      </w:r>
    </w:p>
    <w:p>
      <w:pPr>
        <w:pStyle w:val="12"/>
        <w:spacing w:line="360" w:lineRule="exact"/>
        <w:rPr>
          <w:rFonts w:ascii="宋体" w:hAnsi="宋体" w:eastAsia="宋体"/>
          <w:b/>
          <w:color w:val="000000" w:themeColor="text1"/>
          <w:sz w:val="24"/>
          <w:szCs w:val="24"/>
          <w:highlight w:val="yellow"/>
          <w14:textFill>
            <w14:solidFill>
              <w14:schemeClr w14:val="tx1"/>
            </w14:solidFill>
          </w14:textFill>
        </w:rPr>
      </w:pPr>
    </w:p>
    <w:p>
      <w:pPr>
        <w:pStyle w:val="12"/>
        <w:numPr>
          <w:ilvl w:val="0"/>
          <w:numId w:val="6"/>
        </w:numPr>
        <w:spacing w:line="360" w:lineRule="exac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竞赛</w:t>
      </w:r>
      <w:r>
        <w:rPr>
          <w:rFonts w:hint="eastAsia" w:asciiTheme="majorEastAsia" w:hAnsiTheme="majorEastAsia" w:eastAsiaTheme="majorEastAsia" w:cstheme="majorEastAsia"/>
          <w:b/>
          <w:color w:val="000000" w:themeColor="text1"/>
          <w:sz w:val="24"/>
          <w:szCs w:val="24"/>
          <w14:textFill>
            <w14:solidFill>
              <w14:schemeClr w14:val="tx1"/>
            </w14:solidFill>
          </w14:textFill>
        </w:rPr>
        <w:t xml:space="preserve">10% </w:t>
      </w:r>
    </w:p>
    <w:p>
      <w:pPr>
        <w:pStyle w:val="12"/>
        <w:numPr>
          <w:ilvl w:val="0"/>
          <w:numId w:val="24"/>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提供参加体育总局排球中心主办全国青少年排球比赛秩序册、成绩册。</w:t>
      </w:r>
    </w:p>
    <w:p>
      <w:pPr>
        <w:pStyle w:val="12"/>
        <w:numPr>
          <w:ilvl w:val="0"/>
          <w:numId w:val="24"/>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检查认定前四年工作资料（2018—2021年）</w:t>
      </w:r>
    </w:p>
    <w:p>
      <w:pPr>
        <w:pStyle w:val="12"/>
        <w:numPr>
          <w:ilvl w:val="0"/>
          <w:numId w:val="6"/>
        </w:numPr>
        <w:spacing w:line="360" w:lineRule="exac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人才输送率20%</w:t>
      </w:r>
    </w:p>
    <w:p>
      <w:pPr>
        <w:pStyle w:val="12"/>
        <w:numPr>
          <w:ilvl w:val="0"/>
          <w:numId w:val="2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输送是指在本学校或单位系统训练2年及以上时间后向上级学校或单位的输送，同级别输送无效。</w:t>
      </w:r>
    </w:p>
    <w:p>
      <w:pPr>
        <w:pStyle w:val="12"/>
        <w:numPr>
          <w:ilvl w:val="0"/>
          <w:numId w:val="2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输送率计算方法：（前四年输送总数/第一年在册学生+后三年招生人数）×100%</w:t>
      </w:r>
    </w:p>
    <w:p>
      <w:pPr>
        <w:pStyle w:val="12"/>
        <w:numPr>
          <w:ilvl w:val="0"/>
          <w:numId w:val="2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向上级输送的界定：各类学校或单位向国家队、省级优秀运动队、解放军队、行业体协输送；市级体校向省级体校输送；县区级体校向省级、市级体校输送；少体校向中等体育运动学校输送；向职业俱乐部、高校排球队输送也予以统计。</w:t>
      </w:r>
    </w:p>
    <w:p>
      <w:pPr>
        <w:pStyle w:val="12"/>
        <w:numPr>
          <w:ilvl w:val="0"/>
          <w:numId w:val="25"/>
        </w:numPr>
        <w:spacing w:line="36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输送证明的界定</w:t>
      </w:r>
    </w:p>
    <w:p>
      <w:pPr>
        <w:pStyle w:val="12"/>
        <w:spacing w:line="360" w:lineRule="exact"/>
        <w:ind w:left="720"/>
        <w:rPr>
          <w:rFonts w:ascii="宋体" w:hAnsi="宋体" w:eastAsia="宋体"/>
          <w:sz w:val="24"/>
          <w:szCs w:val="24"/>
        </w:rPr>
      </w:pPr>
      <w:r>
        <w:rPr>
          <w:rFonts w:hint="eastAsia" w:ascii="宋体" w:hAnsi="宋体" w:eastAsia="宋体"/>
          <w:color w:val="000000" w:themeColor="text1"/>
          <w:sz w:val="24"/>
          <w:szCs w:val="24"/>
          <w14:textFill>
            <w14:solidFill>
              <w14:schemeClr w14:val="tx1"/>
            </w14:solidFill>
          </w14:textFill>
        </w:rPr>
        <w:t>向国家队（含国奥、国青、国少男女排）输送的，须提供国家队集训通知（原件或官网下载），同一年度同一支集训队伍内不做重复计算；向省优秀运动队输送的，须提供当年省人力资源和社会保障部门的录用文件等证明原件（体育学院附属竞技体校代表省优秀</w:t>
      </w:r>
      <w:r>
        <w:rPr>
          <w:rFonts w:hint="eastAsia" w:ascii="宋体" w:hAnsi="宋体" w:eastAsia="宋体"/>
          <w:sz w:val="24"/>
          <w:szCs w:val="24"/>
        </w:rPr>
        <w:t>运动队参赛的合同或协议原件）；向解放军队输送的，须提供入伍通知书复印件；向行业体协输送的，须提供输送原件；向中等体育学校输送的，须提供入校当年省、市教育部门招生办审批的复印件；向上级少体校输送的，须提供入校当年上级体育部门出具的证明、升学（转学）材料等能够证明输送的相关材料。三大球项目向职业俱乐部输送的，须提供聘用协议或合同以及工资发放单。</w:t>
      </w:r>
    </w:p>
    <w:p>
      <w:pPr>
        <w:pStyle w:val="12"/>
        <w:numPr>
          <w:ilvl w:val="0"/>
          <w:numId w:val="25"/>
        </w:numPr>
        <w:spacing w:line="360" w:lineRule="exact"/>
        <w:rPr>
          <w:rFonts w:ascii="宋体" w:hAnsi="宋体" w:eastAsia="宋体"/>
          <w:sz w:val="24"/>
          <w:szCs w:val="24"/>
        </w:rPr>
      </w:pPr>
      <w:r>
        <w:rPr>
          <w:rFonts w:hint="eastAsia" w:ascii="宋体" w:hAnsi="宋体" w:eastAsia="宋体"/>
          <w:sz w:val="24"/>
          <w:szCs w:val="24"/>
        </w:rPr>
        <w:t>向外省上一级训练单位输送的，须提供输送原件，其计算方法同本省；在上级训练单位代训、培训的不统计在输送人数内。</w:t>
      </w:r>
    </w:p>
    <w:p>
      <w:pPr>
        <w:pStyle w:val="12"/>
        <w:numPr>
          <w:ilvl w:val="0"/>
          <w:numId w:val="25"/>
        </w:numPr>
        <w:spacing w:line="360" w:lineRule="exact"/>
        <w:rPr>
          <w:rFonts w:ascii="宋体" w:hAnsi="宋体" w:eastAsia="宋体"/>
          <w:sz w:val="24"/>
          <w:szCs w:val="24"/>
        </w:rPr>
      </w:pPr>
      <w:r>
        <w:rPr>
          <w:rFonts w:hint="eastAsia" w:ascii="宋体" w:hAnsi="宋体" w:eastAsia="宋体"/>
          <w:sz w:val="24"/>
          <w:szCs w:val="24"/>
        </w:rPr>
        <w:t>检查认定前四年工作资料（2018—2021年）</w:t>
      </w:r>
    </w:p>
    <w:p>
      <w:pPr>
        <w:pStyle w:val="12"/>
        <w:numPr>
          <w:ilvl w:val="0"/>
          <w:numId w:val="25"/>
        </w:numPr>
        <w:spacing w:line="360" w:lineRule="exact"/>
        <w:rPr>
          <w:rFonts w:ascii="宋体" w:hAnsi="宋体"/>
          <w:sz w:val="24"/>
        </w:rPr>
      </w:pPr>
      <w:r>
        <w:rPr>
          <w:rFonts w:hint="eastAsia" w:ascii="宋体" w:hAnsi="宋体" w:eastAsia="宋体"/>
          <w:sz w:val="24"/>
          <w:szCs w:val="24"/>
        </w:rPr>
        <w:t>认定依据：认定工作前四年学校输送学生名单及有关证明材料。</w:t>
      </w:r>
    </w:p>
    <w:sectPr>
      <w:footerReference r:id="rId3" w:type="default"/>
      <w:footerReference r:id="rId4" w:type="even"/>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1275886"/>
    </w:sdtPr>
    <w:sdtContent>
      <w:sdt>
        <w:sdtPr>
          <w:id w:val="1460078051"/>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31780"/>
    <w:multiLevelType w:val="singleLevel"/>
    <w:tmpl w:val="81F31780"/>
    <w:lvl w:ilvl="0" w:tentative="0">
      <w:start w:val="2"/>
      <w:numFmt w:val="chineseCounting"/>
      <w:suff w:val="nothing"/>
      <w:lvlText w:val="%1、"/>
      <w:lvlJc w:val="left"/>
      <w:rPr>
        <w:rFonts w:hint="eastAsia"/>
      </w:rPr>
    </w:lvl>
  </w:abstractNum>
  <w:abstractNum w:abstractNumId="1">
    <w:nsid w:val="048C29B1"/>
    <w:multiLevelType w:val="multilevel"/>
    <w:tmpl w:val="048C29B1"/>
    <w:lvl w:ilvl="0" w:tentative="0">
      <w:start w:val="1"/>
      <w:numFmt w:val="decimal"/>
      <w:lvlText w:val="%1、"/>
      <w:lvlJc w:val="left"/>
      <w:pPr>
        <w:ind w:left="420" w:hanging="420"/>
      </w:pPr>
      <w:rPr>
        <w:rFonts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6B570D1"/>
    <w:multiLevelType w:val="multilevel"/>
    <w:tmpl w:val="06B570D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5A5DAB"/>
    <w:multiLevelType w:val="multilevel"/>
    <w:tmpl w:val="0A5A5DAB"/>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AED5DE8"/>
    <w:multiLevelType w:val="multilevel"/>
    <w:tmpl w:val="0AED5DE8"/>
    <w:lvl w:ilvl="0" w:tentative="0">
      <w:start w:val="1"/>
      <w:numFmt w:val="decimal"/>
      <w:lvlText w:val="（%1）"/>
      <w:lvlJc w:val="left"/>
      <w:pPr>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CAB3992"/>
    <w:multiLevelType w:val="multilevel"/>
    <w:tmpl w:val="0CAB3992"/>
    <w:lvl w:ilvl="0" w:tentative="0">
      <w:start w:val="1"/>
      <w:numFmt w:val="japaneseCounting"/>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E5D33E5"/>
    <w:multiLevelType w:val="multilevel"/>
    <w:tmpl w:val="0E5D33E5"/>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4A0026A"/>
    <w:multiLevelType w:val="multilevel"/>
    <w:tmpl w:val="14A0026A"/>
    <w:lvl w:ilvl="0" w:tentative="0">
      <w:start w:val="1"/>
      <w:numFmt w:val="chineseCountingThousand"/>
      <w:lvlText w:val="(%1)"/>
      <w:lvlJc w:val="left"/>
      <w:pPr>
        <w:ind w:left="9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584155B"/>
    <w:multiLevelType w:val="multilevel"/>
    <w:tmpl w:val="1584155B"/>
    <w:lvl w:ilvl="0" w:tentative="0">
      <w:start w:val="1"/>
      <w:numFmt w:val="decimal"/>
      <w:lvlText w:val="（%1）"/>
      <w:lvlJc w:val="left"/>
      <w:pPr>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5DB1927"/>
    <w:multiLevelType w:val="multilevel"/>
    <w:tmpl w:val="15DB1927"/>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71E0262"/>
    <w:multiLevelType w:val="multilevel"/>
    <w:tmpl w:val="171E0262"/>
    <w:lvl w:ilvl="0" w:tentative="0">
      <w:start w:val="1"/>
      <w:numFmt w:val="japaneseCounting"/>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A304E73"/>
    <w:multiLevelType w:val="multilevel"/>
    <w:tmpl w:val="1A304E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C907064"/>
    <w:multiLevelType w:val="multilevel"/>
    <w:tmpl w:val="1C907064"/>
    <w:lvl w:ilvl="0" w:tentative="0">
      <w:start w:val="1"/>
      <w:numFmt w:val="decimal"/>
      <w:lvlText w:val="（%1）"/>
      <w:lvlJc w:val="left"/>
      <w:pPr>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261935AD"/>
    <w:multiLevelType w:val="multilevel"/>
    <w:tmpl w:val="261935AD"/>
    <w:lvl w:ilvl="0" w:tentative="0">
      <w:start w:val="1"/>
      <w:numFmt w:val="japaneseCounting"/>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33F46677"/>
    <w:multiLevelType w:val="multilevel"/>
    <w:tmpl w:val="33F46677"/>
    <w:lvl w:ilvl="0" w:tentative="0">
      <w:start w:val="1"/>
      <w:numFmt w:val="decimal"/>
      <w:lvlText w:val="（%1）"/>
      <w:lvlJc w:val="left"/>
      <w:pPr>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5D15B46"/>
    <w:multiLevelType w:val="multilevel"/>
    <w:tmpl w:val="35D15B46"/>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E724C06"/>
    <w:multiLevelType w:val="multilevel"/>
    <w:tmpl w:val="3E724C06"/>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47C04ABE"/>
    <w:multiLevelType w:val="multilevel"/>
    <w:tmpl w:val="47C04ABE"/>
    <w:lvl w:ilvl="0" w:tentative="0">
      <w:start w:val="1"/>
      <w:numFmt w:val="decimal"/>
      <w:lvlText w:val="（%1）"/>
      <w:lvlJc w:val="left"/>
      <w:pPr>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484D1136"/>
    <w:multiLevelType w:val="singleLevel"/>
    <w:tmpl w:val="484D1136"/>
    <w:lvl w:ilvl="0" w:tentative="0">
      <w:start w:val="1"/>
      <w:numFmt w:val="chineseCounting"/>
      <w:suff w:val="nothing"/>
      <w:lvlText w:val="%1、"/>
      <w:lvlJc w:val="left"/>
      <w:rPr>
        <w:rFonts w:hint="eastAsia"/>
      </w:rPr>
    </w:lvl>
  </w:abstractNum>
  <w:abstractNum w:abstractNumId="19">
    <w:nsid w:val="4DD10F2E"/>
    <w:multiLevelType w:val="multilevel"/>
    <w:tmpl w:val="4DD10F2E"/>
    <w:lvl w:ilvl="0" w:tentative="0">
      <w:start w:val="1"/>
      <w:numFmt w:val="decimal"/>
      <w:lvlText w:val="（%1）"/>
      <w:lvlJc w:val="left"/>
      <w:pPr>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586569A2"/>
    <w:multiLevelType w:val="multilevel"/>
    <w:tmpl w:val="586569A2"/>
    <w:lvl w:ilvl="0" w:tentative="0">
      <w:start w:val="1"/>
      <w:numFmt w:val="japaneseCounting"/>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8701685"/>
    <w:multiLevelType w:val="multilevel"/>
    <w:tmpl w:val="58701685"/>
    <w:lvl w:ilvl="0" w:tentative="0">
      <w:start w:val="1"/>
      <w:numFmt w:val="decimal"/>
      <w:lvlText w:val="（%1）"/>
      <w:lvlJc w:val="left"/>
      <w:pPr>
        <w:ind w:left="120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597C38C9"/>
    <w:multiLevelType w:val="multilevel"/>
    <w:tmpl w:val="597C38C9"/>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D8B6B14"/>
    <w:multiLevelType w:val="multilevel"/>
    <w:tmpl w:val="5D8B6B14"/>
    <w:lvl w:ilvl="0" w:tentative="0">
      <w:start w:val="1"/>
      <w:numFmt w:val="decimal"/>
      <w:lvlText w:val="%1、"/>
      <w:lvlJc w:val="left"/>
      <w:pPr>
        <w:ind w:left="5397" w:hanging="720"/>
      </w:pPr>
    </w:lvl>
    <w:lvl w:ilvl="1" w:tentative="0">
      <w:start w:val="1"/>
      <w:numFmt w:val="decimal"/>
      <w:lvlText w:val="%2."/>
      <w:lvlJc w:val="left"/>
      <w:pPr>
        <w:tabs>
          <w:tab w:val="left" w:pos="6117"/>
        </w:tabs>
        <w:ind w:left="6117" w:hanging="360"/>
      </w:pPr>
    </w:lvl>
    <w:lvl w:ilvl="2" w:tentative="0">
      <w:start w:val="1"/>
      <w:numFmt w:val="decimal"/>
      <w:lvlText w:val="%3."/>
      <w:lvlJc w:val="left"/>
      <w:pPr>
        <w:tabs>
          <w:tab w:val="left" w:pos="6837"/>
        </w:tabs>
        <w:ind w:left="6837" w:hanging="360"/>
      </w:pPr>
    </w:lvl>
    <w:lvl w:ilvl="3" w:tentative="0">
      <w:start w:val="1"/>
      <w:numFmt w:val="decimal"/>
      <w:lvlText w:val="%4."/>
      <w:lvlJc w:val="left"/>
      <w:pPr>
        <w:tabs>
          <w:tab w:val="left" w:pos="7557"/>
        </w:tabs>
        <w:ind w:left="7557" w:hanging="360"/>
      </w:pPr>
    </w:lvl>
    <w:lvl w:ilvl="4" w:tentative="0">
      <w:start w:val="1"/>
      <w:numFmt w:val="decimal"/>
      <w:lvlText w:val="%5."/>
      <w:lvlJc w:val="left"/>
      <w:pPr>
        <w:tabs>
          <w:tab w:val="left" w:pos="8277"/>
        </w:tabs>
        <w:ind w:left="8277" w:hanging="360"/>
      </w:pPr>
    </w:lvl>
    <w:lvl w:ilvl="5" w:tentative="0">
      <w:start w:val="1"/>
      <w:numFmt w:val="decimal"/>
      <w:lvlText w:val="%6."/>
      <w:lvlJc w:val="left"/>
      <w:pPr>
        <w:tabs>
          <w:tab w:val="left" w:pos="8997"/>
        </w:tabs>
        <w:ind w:left="8997" w:hanging="360"/>
      </w:pPr>
    </w:lvl>
    <w:lvl w:ilvl="6" w:tentative="0">
      <w:start w:val="1"/>
      <w:numFmt w:val="decimal"/>
      <w:lvlText w:val="%7."/>
      <w:lvlJc w:val="left"/>
      <w:pPr>
        <w:tabs>
          <w:tab w:val="left" w:pos="9717"/>
        </w:tabs>
        <w:ind w:left="9717" w:hanging="360"/>
      </w:pPr>
    </w:lvl>
    <w:lvl w:ilvl="7" w:tentative="0">
      <w:start w:val="1"/>
      <w:numFmt w:val="decimal"/>
      <w:lvlText w:val="%8."/>
      <w:lvlJc w:val="left"/>
      <w:pPr>
        <w:tabs>
          <w:tab w:val="left" w:pos="10437"/>
        </w:tabs>
        <w:ind w:left="10437" w:hanging="360"/>
      </w:pPr>
    </w:lvl>
    <w:lvl w:ilvl="8" w:tentative="0">
      <w:start w:val="1"/>
      <w:numFmt w:val="decimal"/>
      <w:lvlText w:val="%9."/>
      <w:lvlJc w:val="left"/>
      <w:pPr>
        <w:tabs>
          <w:tab w:val="left" w:pos="11157"/>
        </w:tabs>
        <w:ind w:left="11157" w:hanging="360"/>
      </w:pPr>
    </w:lvl>
  </w:abstractNum>
  <w:abstractNum w:abstractNumId="24">
    <w:nsid w:val="67E16E4E"/>
    <w:multiLevelType w:val="multilevel"/>
    <w:tmpl w:val="67E16E4E"/>
    <w:lvl w:ilvl="0" w:tentative="0">
      <w:start w:val="1"/>
      <w:numFmt w:val="decimal"/>
      <w:lvlText w:val="%1."/>
      <w:lvlJc w:val="left"/>
      <w:pPr>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8"/>
  </w:num>
  <w:num w:numId="2">
    <w:abstractNumId w:val="1"/>
  </w:num>
  <w:num w:numId="3">
    <w:abstractNumId w:val="11"/>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D2"/>
    <w:rsid w:val="000015FE"/>
    <w:rsid w:val="00022161"/>
    <w:rsid w:val="000424C6"/>
    <w:rsid w:val="0007318C"/>
    <w:rsid w:val="0007797D"/>
    <w:rsid w:val="00083A18"/>
    <w:rsid w:val="0008589E"/>
    <w:rsid w:val="000960BD"/>
    <w:rsid w:val="000A778A"/>
    <w:rsid w:val="000D3CCA"/>
    <w:rsid w:val="000D7DD7"/>
    <w:rsid w:val="000F4170"/>
    <w:rsid w:val="0010092F"/>
    <w:rsid w:val="00127E44"/>
    <w:rsid w:val="001452A3"/>
    <w:rsid w:val="00151B2B"/>
    <w:rsid w:val="001617BF"/>
    <w:rsid w:val="0016547F"/>
    <w:rsid w:val="001806DA"/>
    <w:rsid w:val="001834C2"/>
    <w:rsid w:val="001A737A"/>
    <w:rsid w:val="001D1F7F"/>
    <w:rsid w:val="001E3E37"/>
    <w:rsid w:val="001F0C80"/>
    <w:rsid w:val="0021067B"/>
    <w:rsid w:val="0022487F"/>
    <w:rsid w:val="00225F10"/>
    <w:rsid w:val="00244577"/>
    <w:rsid w:val="00251B5D"/>
    <w:rsid w:val="00257E58"/>
    <w:rsid w:val="002768C5"/>
    <w:rsid w:val="00286AE7"/>
    <w:rsid w:val="002A26D9"/>
    <w:rsid w:val="002A3232"/>
    <w:rsid w:val="002F55EF"/>
    <w:rsid w:val="00304E21"/>
    <w:rsid w:val="00306365"/>
    <w:rsid w:val="00317C8E"/>
    <w:rsid w:val="0032640B"/>
    <w:rsid w:val="003420C2"/>
    <w:rsid w:val="0035449A"/>
    <w:rsid w:val="00356184"/>
    <w:rsid w:val="003739F2"/>
    <w:rsid w:val="003831AE"/>
    <w:rsid w:val="00391277"/>
    <w:rsid w:val="00397873"/>
    <w:rsid w:val="003A2C81"/>
    <w:rsid w:val="003B3E1E"/>
    <w:rsid w:val="003C0EC0"/>
    <w:rsid w:val="003C46E4"/>
    <w:rsid w:val="003D0830"/>
    <w:rsid w:val="00403FE9"/>
    <w:rsid w:val="00420897"/>
    <w:rsid w:val="00430D9A"/>
    <w:rsid w:val="00442546"/>
    <w:rsid w:val="00442F70"/>
    <w:rsid w:val="004530F9"/>
    <w:rsid w:val="00461884"/>
    <w:rsid w:val="00462CD8"/>
    <w:rsid w:val="0046378B"/>
    <w:rsid w:val="00493969"/>
    <w:rsid w:val="004B1DD3"/>
    <w:rsid w:val="004D2167"/>
    <w:rsid w:val="004D6859"/>
    <w:rsid w:val="004D6D32"/>
    <w:rsid w:val="004E3977"/>
    <w:rsid w:val="004F3F76"/>
    <w:rsid w:val="00506838"/>
    <w:rsid w:val="00511EFA"/>
    <w:rsid w:val="00512F6F"/>
    <w:rsid w:val="00517FD6"/>
    <w:rsid w:val="00520186"/>
    <w:rsid w:val="005265AF"/>
    <w:rsid w:val="00527004"/>
    <w:rsid w:val="00595BE2"/>
    <w:rsid w:val="005A4AD2"/>
    <w:rsid w:val="005B1803"/>
    <w:rsid w:val="005C10DD"/>
    <w:rsid w:val="005C1A5A"/>
    <w:rsid w:val="005C5612"/>
    <w:rsid w:val="005D0012"/>
    <w:rsid w:val="005D73D7"/>
    <w:rsid w:val="005F692B"/>
    <w:rsid w:val="00605D38"/>
    <w:rsid w:val="00611EBC"/>
    <w:rsid w:val="006158D3"/>
    <w:rsid w:val="006236D5"/>
    <w:rsid w:val="006755C0"/>
    <w:rsid w:val="00675A73"/>
    <w:rsid w:val="006917DB"/>
    <w:rsid w:val="00691806"/>
    <w:rsid w:val="00697F12"/>
    <w:rsid w:val="006D142B"/>
    <w:rsid w:val="006E33F0"/>
    <w:rsid w:val="006E7A42"/>
    <w:rsid w:val="006F05AD"/>
    <w:rsid w:val="006F29F6"/>
    <w:rsid w:val="006F3828"/>
    <w:rsid w:val="0070435E"/>
    <w:rsid w:val="007421FD"/>
    <w:rsid w:val="00770EC7"/>
    <w:rsid w:val="007735CD"/>
    <w:rsid w:val="007810EC"/>
    <w:rsid w:val="0079202E"/>
    <w:rsid w:val="007C735D"/>
    <w:rsid w:val="007E1B7A"/>
    <w:rsid w:val="007E6CE4"/>
    <w:rsid w:val="00851719"/>
    <w:rsid w:val="0085299C"/>
    <w:rsid w:val="00882E4D"/>
    <w:rsid w:val="00887DA1"/>
    <w:rsid w:val="0089770E"/>
    <w:rsid w:val="008A2932"/>
    <w:rsid w:val="008A343A"/>
    <w:rsid w:val="008C5DCE"/>
    <w:rsid w:val="008E2446"/>
    <w:rsid w:val="009316B2"/>
    <w:rsid w:val="00934D60"/>
    <w:rsid w:val="00952932"/>
    <w:rsid w:val="00975FDD"/>
    <w:rsid w:val="009973A0"/>
    <w:rsid w:val="009D0103"/>
    <w:rsid w:val="00A2329C"/>
    <w:rsid w:val="00A33563"/>
    <w:rsid w:val="00A4769B"/>
    <w:rsid w:val="00A65E26"/>
    <w:rsid w:val="00A831B6"/>
    <w:rsid w:val="00AC151A"/>
    <w:rsid w:val="00AC52ED"/>
    <w:rsid w:val="00AD6C96"/>
    <w:rsid w:val="00AD713D"/>
    <w:rsid w:val="00AD728A"/>
    <w:rsid w:val="00AF2411"/>
    <w:rsid w:val="00B04F11"/>
    <w:rsid w:val="00B1017F"/>
    <w:rsid w:val="00B12176"/>
    <w:rsid w:val="00B3435D"/>
    <w:rsid w:val="00B819C6"/>
    <w:rsid w:val="00BA3ED2"/>
    <w:rsid w:val="00BB5B2C"/>
    <w:rsid w:val="00BD2999"/>
    <w:rsid w:val="00BD5789"/>
    <w:rsid w:val="00BF1825"/>
    <w:rsid w:val="00C06AE0"/>
    <w:rsid w:val="00C341E7"/>
    <w:rsid w:val="00C369C5"/>
    <w:rsid w:val="00C602C8"/>
    <w:rsid w:val="00CA6C24"/>
    <w:rsid w:val="00CB647E"/>
    <w:rsid w:val="00CB6FD0"/>
    <w:rsid w:val="00CD0A93"/>
    <w:rsid w:val="00CF55AE"/>
    <w:rsid w:val="00D06C9B"/>
    <w:rsid w:val="00D1762B"/>
    <w:rsid w:val="00D36CC4"/>
    <w:rsid w:val="00D506E8"/>
    <w:rsid w:val="00D51D29"/>
    <w:rsid w:val="00D77B59"/>
    <w:rsid w:val="00D9111A"/>
    <w:rsid w:val="00DB02DE"/>
    <w:rsid w:val="00DB603B"/>
    <w:rsid w:val="00DD6B0C"/>
    <w:rsid w:val="00DE04F8"/>
    <w:rsid w:val="00DF2C9F"/>
    <w:rsid w:val="00DF5209"/>
    <w:rsid w:val="00E04DC9"/>
    <w:rsid w:val="00E122FC"/>
    <w:rsid w:val="00E14ECF"/>
    <w:rsid w:val="00E2255E"/>
    <w:rsid w:val="00E70D12"/>
    <w:rsid w:val="00E735A3"/>
    <w:rsid w:val="00E77F4D"/>
    <w:rsid w:val="00E81539"/>
    <w:rsid w:val="00E81F09"/>
    <w:rsid w:val="00E95E47"/>
    <w:rsid w:val="00EB49DE"/>
    <w:rsid w:val="00EC26A7"/>
    <w:rsid w:val="00ED5D05"/>
    <w:rsid w:val="00EE392F"/>
    <w:rsid w:val="00EE513B"/>
    <w:rsid w:val="00EF0501"/>
    <w:rsid w:val="00EF55B7"/>
    <w:rsid w:val="00F0121E"/>
    <w:rsid w:val="00F109F3"/>
    <w:rsid w:val="00F31B80"/>
    <w:rsid w:val="00F3365D"/>
    <w:rsid w:val="00F51C23"/>
    <w:rsid w:val="00F57C06"/>
    <w:rsid w:val="00F6311B"/>
    <w:rsid w:val="00F66E5C"/>
    <w:rsid w:val="00F82F4C"/>
    <w:rsid w:val="00FA5836"/>
    <w:rsid w:val="00FB4976"/>
    <w:rsid w:val="00FB5BDA"/>
    <w:rsid w:val="00FC0089"/>
    <w:rsid w:val="00FC0742"/>
    <w:rsid w:val="00FD35A1"/>
    <w:rsid w:val="00FF0BD9"/>
    <w:rsid w:val="03A56250"/>
    <w:rsid w:val="3E451F7E"/>
    <w:rsid w:val="4EA85661"/>
    <w:rsid w:val="606D0E27"/>
    <w:rsid w:val="69D82B7B"/>
    <w:rsid w:val="6A1A6E68"/>
    <w:rsid w:val="6C87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批注框文本 Char"/>
    <w:link w:val="2"/>
    <w:semiHidden/>
    <w:qFormat/>
    <w:uiPriority w:val="99"/>
    <w:rPr>
      <w:rFonts w:ascii="Times New Roman" w:hAnsi="Times New Roman"/>
      <w:kern w:val="2"/>
      <w:sz w:val="18"/>
      <w:szCs w:val="18"/>
    </w:rPr>
  </w:style>
  <w:style w:type="paragraph" w:customStyle="1" w:styleId="12">
    <w:name w:val="无间隔1"/>
    <w:qFormat/>
    <w:uiPriority w:val="1"/>
    <w:pPr>
      <w:widowControl w:val="0"/>
      <w:jc w:val="both"/>
    </w:pPr>
    <w:rPr>
      <w:rFonts w:ascii="仿宋_GB2312" w:hAnsi="仿宋_GB2312" w:eastAsia="仿宋_GB2312" w:cs="Arial Unicode MS"/>
      <w:kern w:val="2"/>
      <w:sz w:val="32"/>
      <w:szCs w:val="32"/>
      <w:lang w:val="en-US" w:eastAsia="zh-CN" w:bidi="ar-SA"/>
    </w:rPr>
  </w:style>
  <w:style w:type="paragraph" w:styleId="13">
    <w:name w:val="No Spacing"/>
    <w:qFormat/>
    <w:uiPriority w:val="1"/>
    <w:pPr>
      <w:widowControl w:val="0"/>
      <w:jc w:val="both"/>
    </w:pPr>
    <w:rPr>
      <w:rFonts w:ascii="仿宋_GB2312" w:hAnsi="仿宋_GB2312" w:eastAsia="仿宋_GB2312" w:cs="Arial Unicode MS"/>
      <w:kern w:val="2"/>
      <w:sz w:val="32"/>
      <w:szCs w:val="32"/>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CB1A6-BB39-49EC-8513-0F626FB7D18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1036</Words>
  <Characters>5909</Characters>
  <Lines>49</Lines>
  <Paragraphs>13</Paragraphs>
  <TotalTime>40</TotalTime>
  <ScaleCrop>false</ScaleCrop>
  <LinksUpToDate>false</LinksUpToDate>
  <CharactersWithSpaces>6932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2017-10-20T00:40:00Z</dcterms:created>
  <dc:creator>a</dc:creator>
  <cp:lastModifiedBy>王旭阳</cp:lastModifiedBy>
  <cp:lastPrinted>2021-10-21T06:37:00Z</cp:lastPrinted>
  <dcterms:modified xsi:type="dcterms:W3CDTF">2021-10-21T07:08:34Z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8073ADF823844FF5A7F5B97BD6E1EB81</vt:lpwstr>
  </property>
</Properties>
</file>