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黑体" w:hAnsi="黑体" w:eastAsia="黑体" w:cs="黑体"/>
        </w:rPr>
      </w:pPr>
      <w:r>
        <w:rPr>
          <w:rFonts w:hint="eastAsia" w:ascii="黑体" w:hAnsi="黑体" w:eastAsia="黑体" w:cs="黑体"/>
        </w:rPr>
        <w:t>附件1</w:t>
      </w:r>
    </w:p>
    <w:p>
      <w:pPr>
        <w:spacing w:line="600" w:lineRule="exact"/>
        <w:jc w:val="center"/>
        <w:rPr>
          <w:rFonts w:hint="eastAsia" w:hAnsiTheme="majorEastAsia" w:cstheme="majorEastAsia"/>
          <w:bCs/>
          <w:sz w:val="44"/>
          <w:szCs w:val="44"/>
        </w:rPr>
      </w:pPr>
    </w:p>
    <w:p>
      <w:pPr>
        <w:spacing w:line="600" w:lineRule="exact"/>
        <w:jc w:val="center"/>
        <w:rPr>
          <w:rFonts w:hint="eastAsia" w:ascii="黑体" w:hAnsi="黑体" w:eastAsia="黑体" w:cstheme="majorEastAsia"/>
          <w:bCs/>
          <w:sz w:val="44"/>
          <w:szCs w:val="44"/>
        </w:rPr>
      </w:pPr>
      <w:r>
        <w:rPr>
          <w:rFonts w:hint="eastAsia" w:ascii="黑体" w:hAnsi="黑体" w:eastAsia="黑体" w:cstheme="majorEastAsia"/>
          <w:bCs/>
          <w:sz w:val="44"/>
          <w:szCs w:val="44"/>
        </w:rPr>
        <w:t>全国排球高水平后备人才基地认定</w:t>
      </w:r>
      <w:bookmarkStart w:id="0" w:name="_GoBack"/>
      <w:bookmarkEnd w:id="0"/>
      <w:r>
        <w:rPr>
          <w:rFonts w:hint="eastAsia" w:ascii="黑体" w:hAnsi="黑体" w:eastAsia="黑体" w:cstheme="majorEastAsia"/>
          <w:bCs/>
          <w:sz w:val="44"/>
          <w:szCs w:val="44"/>
        </w:rPr>
        <w:t>办法</w:t>
      </w:r>
    </w:p>
    <w:p>
      <w:pPr>
        <w:spacing w:line="600" w:lineRule="exact"/>
        <w:jc w:val="center"/>
        <w:rPr>
          <w:rFonts w:hint="eastAsia" w:hAnsi="宋体"/>
          <w:sz w:val="28"/>
          <w:szCs w:val="28"/>
        </w:rPr>
      </w:pPr>
    </w:p>
    <w:p>
      <w:pPr>
        <w:numPr>
          <w:ilvl w:val="0"/>
          <w:numId w:val="1"/>
        </w:numPr>
        <w:jc w:val="center"/>
        <w:rPr>
          <w:rFonts w:hint="eastAsia" w:hAnsi="宋体"/>
          <w:b/>
          <w:sz w:val="28"/>
          <w:szCs w:val="28"/>
        </w:rPr>
      </w:pPr>
      <w:r>
        <w:rPr>
          <w:rFonts w:hint="eastAsia" w:hAnsi="宋体"/>
          <w:b/>
          <w:sz w:val="28"/>
          <w:szCs w:val="28"/>
        </w:rPr>
        <w:t>总  则</w:t>
      </w:r>
    </w:p>
    <w:p>
      <w:pPr>
        <w:rPr>
          <w:rFonts w:hint="eastAsia" w:hAnsi="宋体"/>
          <w:sz w:val="28"/>
          <w:szCs w:val="28"/>
        </w:rPr>
      </w:pPr>
    </w:p>
    <w:p>
      <w:pPr>
        <w:ind w:firstLine="565" w:firstLineChars="202"/>
        <w:rPr>
          <w:rFonts w:hint="eastAsia" w:hAnsi="宋体"/>
          <w:sz w:val="28"/>
          <w:szCs w:val="28"/>
        </w:rPr>
      </w:pPr>
      <w:r>
        <w:rPr>
          <w:rFonts w:hint="eastAsia" w:hAnsi="宋体"/>
          <w:sz w:val="28"/>
          <w:szCs w:val="28"/>
        </w:rPr>
        <w:t>第一条  为贯彻落实《排球项目竞技体育后备人才培养中长期规划》，进一步推动全国排球高水平后备人才基地的建设和发展，夯实排球后备力量，促进排球可持续性发展，特制定本办法。</w:t>
      </w:r>
    </w:p>
    <w:p>
      <w:pPr>
        <w:ind w:firstLine="565" w:firstLineChars="202"/>
        <w:rPr>
          <w:rFonts w:hint="eastAsia" w:hAnsi="宋体"/>
          <w:sz w:val="28"/>
          <w:szCs w:val="28"/>
        </w:rPr>
      </w:pPr>
      <w:r>
        <w:rPr>
          <w:rFonts w:hint="eastAsia" w:hAnsi="宋体"/>
          <w:sz w:val="28"/>
          <w:szCs w:val="28"/>
        </w:rPr>
        <w:t>第二条  排球基地实行申报、认定制度，按照全运会周期每四年认定一次。认定条件是认定工作的唯一标准。</w:t>
      </w:r>
    </w:p>
    <w:p>
      <w:pPr>
        <w:ind w:firstLine="560" w:firstLineChars="200"/>
        <w:rPr>
          <w:rFonts w:hint="eastAsia" w:hAnsi="宋体"/>
          <w:sz w:val="28"/>
          <w:szCs w:val="28"/>
        </w:rPr>
      </w:pPr>
      <w:r>
        <w:rPr>
          <w:rFonts w:hint="eastAsia" w:hAnsi="宋体"/>
          <w:sz w:val="28"/>
          <w:szCs w:val="28"/>
        </w:rPr>
        <w:t>第三条  开展排球项目的地市级以上体育运动学校、排球专项体育运动学校、排球项目传统特色学校均可申请参加排球基地认定。</w:t>
      </w:r>
    </w:p>
    <w:p>
      <w:pPr>
        <w:tabs>
          <w:tab w:val="left" w:pos="0"/>
        </w:tabs>
        <w:ind w:firstLine="560" w:firstLineChars="200"/>
        <w:rPr>
          <w:rFonts w:hint="eastAsia" w:hAnsi="宋体"/>
          <w:sz w:val="28"/>
          <w:szCs w:val="28"/>
        </w:rPr>
      </w:pPr>
      <w:r>
        <w:rPr>
          <w:rFonts w:hint="eastAsia" w:hAnsi="宋体"/>
          <w:sz w:val="28"/>
          <w:szCs w:val="28"/>
        </w:rPr>
        <w:t>第四条  排球基地认定周期内受到国家、省、自治区、直辖市处罚的体育学校或单位不得参加认定工作。</w:t>
      </w:r>
    </w:p>
    <w:p>
      <w:pPr>
        <w:tabs>
          <w:tab w:val="left" w:pos="0"/>
        </w:tabs>
        <w:ind w:firstLine="560" w:firstLineChars="200"/>
        <w:rPr>
          <w:rFonts w:hint="eastAsia" w:hAnsi="宋体"/>
          <w:sz w:val="28"/>
          <w:szCs w:val="28"/>
        </w:rPr>
      </w:pPr>
      <w:r>
        <w:rPr>
          <w:rFonts w:hint="eastAsia" w:hAnsi="宋体"/>
          <w:sz w:val="28"/>
          <w:szCs w:val="28"/>
        </w:rPr>
        <w:t>第五条  国家体育总局排球运动管理中心（以下简称“体育总局排球中心”）负责排球基地的认定和管理工作。</w:t>
      </w:r>
    </w:p>
    <w:p>
      <w:pPr>
        <w:rPr>
          <w:rFonts w:hint="eastAsia" w:hAnsi="宋体"/>
          <w:b/>
          <w:sz w:val="28"/>
          <w:szCs w:val="28"/>
        </w:rPr>
      </w:pPr>
    </w:p>
    <w:p>
      <w:pPr>
        <w:numPr>
          <w:ilvl w:val="0"/>
          <w:numId w:val="1"/>
        </w:numPr>
        <w:jc w:val="center"/>
        <w:rPr>
          <w:rFonts w:hint="eastAsia" w:hAnsi="宋体"/>
          <w:b/>
          <w:sz w:val="28"/>
          <w:szCs w:val="28"/>
        </w:rPr>
      </w:pPr>
      <w:r>
        <w:rPr>
          <w:rFonts w:hint="eastAsia" w:hAnsi="宋体"/>
          <w:b/>
          <w:sz w:val="28"/>
          <w:szCs w:val="28"/>
        </w:rPr>
        <w:t>参评单位申报要求</w:t>
      </w:r>
    </w:p>
    <w:p>
      <w:pPr>
        <w:ind w:left="1260"/>
        <w:rPr>
          <w:rFonts w:hint="eastAsia" w:hAnsi="宋体"/>
          <w:b/>
          <w:sz w:val="28"/>
          <w:szCs w:val="28"/>
        </w:rPr>
      </w:pPr>
    </w:p>
    <w:p>
      <w:pPr>
        <w:ind w:firstLine="560" w:firstLineChars="200"/>
        <w:rPr>
          <w:rFonts w:hint="eastAsia" w:hAnsi="宋体"/>
          <w:sz w:val="28"/>
          <w:szCs w:val="28"/>
        </w:rPr>
      </w:pPr>
      <w:r>
        <w:rPr>
          <w:rFonts w:hint="eastAsia" w:hAnsi="宋体"/>
          <w:sz w:val="28"/>
          <w:szCs w:val="28"/>
        </w:rPr>
        <w:t>第六条  申报排球基地的体育学校或单位，应当具备独立法人资和具有组织机构代码。对原属于中等体育职业教育的学校现已合并或升格为体育职业技术学院、体育运动技术学院的学校，其培养目标没变，仍保留独立机构及管理模式的体育学校申报排球基地，不受独立法人资格及应当具有组织代码要求的限制。</w:t>
      </w:r>
    </w:p>
    <w:p>
      <w:pPr>
        <w:ind w:firstLine="560" w:firstLineChars="200"/>
        <w:rPr>
          <w:rFonts w:hint="default" w:hAnsi="宋体" w:eastAsia="仿宋_GB2312"/>
          <w:sz w:val="28"/>
          <w:szCs w:val="28"/>
          <w:lang w:val="en-US" w:eastAsia="zh-CN"/>
        </w:rPr>
      </w:pPr>
      <w:r>
        <w:rPr>
          <w:rFonts w:hint="eastAsia" w:hAnsi="宋体"/>
          <w:sz w:val="28"/>
          <w:szCs w:val="28"/>
        </w:rPr>
        <w:t>第七条  各参评单位应当按照体育总局排球中心统一制定的排球基地认定申报表和时间要求向本省（区、市）体育局进行申报。</w:t>
      </w:r>
    </w:p>
    <w:p>
      <w:pPr>
        <w:ind w:firstLine="560" w:firstLineChars="200"/>
        <w:rPr>
          <w:rFonts w:hint="eastAsia" w:hAnsi="宋体"/>
          <w:sz w:val="28"/>
          <w:szCs w:val="28"/>
        </w:rPr>
      </w:pPr>
    </w:p>
    <w:p>
      <w:pPr>
        <w:numPr>
          <w:ilvl w:val="0"/>
          <w:numId w:val="1"/>
        </w:numPr>
        <w:jc w:val="center"/>
        <w:rPr>
          <w:rFonts w:hint="eastAsia" w:hAnsi="宋体"/>
          <w:b/>
          <w:sz w:val="28"/>
          <w:szCs w:val="28"/>
        </w:rPr>
      </w:pPr>
      <w:r>
        <w:rPr>
          <w:rFonts w:hint="eastAsia" w:hAnsi="宋体"/>
          <w:b/>
          <w:sz w:val="28"/>
          <w:szCs w:val="28"/>
        </w:rPr>
        <w:t>认定程序</w:t>
      </w:r>
    </w:p>
    <w:p>
      <w:pPr>
        <w:ind w:left="1260"/>
        <w:rPr>
          <w:rFonts w:hint="eastAsia" w:hAnsi="宋体"/>
          <w:b/>
          <w:sz w:val="28"/>
          <w:szCs w:val="28"/>
        </w:rPr>
      </w:pPr>
    </w:p>
    <w:p>
      <w:pPr>
        <w:ind w:firstLine="560" w:firstLineChars="200"/>
        <w:rPr>
          <w:rFonts w:hint="eastAsia" w:hAnsi="宋体"/>
          <w:sz w:val="28"/>
          <w:szCs w:val="28"/>
        </w:rPr>
      </w:pPr>
      <w:r>
        <w:rPr>
          <w:rFonts w:hint="eastAsia" w:hAnsi="宋体"/>
          <w:sz w:val="28"/>
          <w:szCs w:val="28"/>
        </w:rPr>
        <w:t>第八条  各省（区、市）体育局业务主管部门负责组织对本省（区、市）参评单位进行复审。并将复审合格的排球基地备选单位申报表一式三份报体育总局排球中心。</w:t>
      </w:r>
    </w:p>
    <w:p>
      <w:pPr>
        <w:ind w:firstLine="560" w:firstLineChars="200"/>
        <w:rPr>
          <w:rFonts w:hint="eastAsia" w:hAnsi="宋体"/>
          <w:sz w:val="28"/>
          <w:szCs w:val="28"/>
        </w:rPr>
      </w:pPr>
      <w:r>
        <w:rPr>
          <w:rFonts w:hint="eastAsia" w:hAnsi="宋体"/>
          <w:sz w:val="28"/>
          <w:szCs w:val="28"/>
        </w:rPr>
        <w:t>第</w:t>
      </w:r>
      <w:r>
        <w:rPr>
          <w:rFonts w:hint="eastAsia" w:hAnsi="宋体"/>
          <w:sz w:val="28"/>
          <w:szCs w:val="28"/>
          <w:lang w:eastAsia="zh-CN"/>
        </w:rPr>
        <w:t>九</w:t>
      </w:r>
      <w:r>
        <w:rPr>
          <w:rFonts w:hint="eastAsia" w:hAnsi="宋体"/>
          <w:sz w:val="28"/>
          <w:szCs w:val="28"/>
        </w:rPr>
        <w:t>条  体育总局排球中心负责组织统评工作，并公布认定结果。</w:t>
      </w:r>
    </w:p>
    <w:p>
      <w:pPr>
        <w:ind w:firstLine="560" w:firstLineChars="200"/>
        <w:rPr>
          <w:rFonts w:hint="eastAsia" w:hAnsi="宋体"/>
          <w:sz w:val="28"/>
          <w:szCs w:val="28"/>
        </w:rPr>
      </w:pPr>
    </w:p>
    <w:p>
      <w:pPr>
        <w:numPr>
          <w:ilvl w:val="0"/>
          <w:numId w:val="1"/>
        </w:numPr>
        <w:jc w:val="center"/>
        <w:rPr>
          <w:rFonts w:hint="eastAsia" w:hAnsi="宋体"/>
          <w:b/>
          <w:sz w:val="28"/>
          <w:szCs w:val="28"/>
        </w:rPr>
      </w:pPr>
      <w:r>
        <w:rPr>
          <w:rFonts w:hint="eastAsia" w:hAnsi="宋体"/>
          <w:b/>
          <w:sz w:val="28"/>
          <w:szCs w:val="28"/>
        </w:rPr>
        <w:t>命名与奖励</w:t>
      </w:r>
    </w:p>
    <w:p>
      <w:pPr>
        <w:ind w:left="1260"/>
        <w:rPr>
          <w:rFonts w:hint="eastAsia" w:hAnsi="宋体"/>
          <w:b/>
          <w:sz w:val="28"/>
          <w:szCs w:val="28"/>
        </w:rPr>
      </w:pPr>
    </w:p>
    <w:p>
      <w:pPr>
        <w:ind w:firstLine="560" w:firstLineChars="200"/>
        <w:rPr>
          <w:rFonts w:hint="eastAsia" w:hAnsi="宋体"/>
          <w:sz w:val="28"/>
          <w:szCs w:val="28"/>
        </w:rPr>
      </w:pPr>
      <w:r>
        <w:rPr>
          <w:rFonts w:hint="eastAsia" w:hAnsi="宋体"/>
          <w:sz w:val="28"/>
          <w:szCs w:val="28"/>
        </w:rPr>
        <w:t>第十条  凡经统评达到排球基地认定条件并经公示无异议的单位，由体育总局排球中心统一命名为新周期 “全国排球高水平后备人才基地”。</w:t>
      </w:r>
    </w:p>
    <w:p>
      <w:pPr>
        <w:ind w:firstLine="560" w:firstLineChars="200"/>
        <w:rPr>
          <w:rFonts w:hint="eastAsia" w:hAnsi="宋体"/>
          <w:sz w:val="28"/>
          <w:szCs w:val="28"/>
        </w:rPr>
      </w:pPr>
      <w:r>
        <w:rPr>
          <w:rFonts w:hint="eastAsia" w:hAnsi="宋体"/>
          <w:sz w:val="28"/>
          <w:szCs w:val="28"/>
        </w:rPr>
        <w:t>第十一条  体育总局排球中心将在新周期内对排球基地进行适当投入，并组织全国比赛、训练营、教练员培训等活动。</w:t>
      </w:r>
    </w:p>
    <w:p>
      <w:pPr>
        <w:ind w:firstLine="560" w:firstLineChars="200"/>
        <w:rPr>
          <w:rFonts w:hint="eastAsia" w:hAnsi="宋体"/>
          <w:bCs/>
          <w:sz w:val="28"/>
          <w:szCs w:val="28"/>
        </w:rPr>
      </w:pPr>
    </w:p>
    <w:p>
      <w:pPr>
        <w:numPr>
          <w:ilvl w:val="0"/>
          <w:numId w:val="1"/>
        </w:numPr>
        <w:jc w:val="center"/>
        <w:rPr>
          <w:rFonts w:hint="eastAsia" w:hAnsi="宋体"/>
          <w:b/>
          <w:sz w:val="28"/>
          <w:szCs w:val="28"/>
        </w:rPr>
      </w:pPr>
      <w:r>
        <w:rPr>
          <w:rFonts w:hint="eastAsia" w:hAnsi="宋体"/>
          <w:b/>
          <w:sz w:val="28"/>
          <w:szCs w:val="28"/>
        </w:rPr>
        <w:t>附  则</w:t>
      </w:r>
    </w:p>
    <w:p>
      <w:pPr>
        <w:ind w:left="1260"/>
        <w:rPr>
          <w:rFonts w:hint="eastAsia" w:hAnsi="宋体"/>
          <w:b/>
          <w:sz w:val="28"/>
          <w:szCs w:val="28"/>
        </w:rPr>
      </w:pPr>
    </w:p>
    <w:p>
      <w:pPr>
        <w:ind w:firstLine="560" w:firstLineChars="200"/>
        <w:rPr>
          <w:rFonts w:hint="eastAsia" w:hAnsi="宋体"/>
          <w:sz w:val="28"/>
          <w:szCs w:val="28"/>
        </w:rPr>
      </w:pPr>
      <w:r>
        <w:rPr>
          <w:rFonts w:hint="eastAsia" w:hAnsi="宋体"/>
          <w:sz w:val="28"/>
          <w:szCs w:val="28"/>
        </w:rPr>
        <w:t>第十二条  体育总局排球中心每年将与相关省（区、市）体育局业务主管部门对排球基地的工作情况进行不定期检查。凡发现工作中存在弄虚作假、违反赛风赛纪和反兴奋剂等问题的，视情节予以处罚，严重者取消排球队基地命名。</w:t>
      </w:r>
    </w:p>
    <w:p>
      <w:pPr>
        <w:ind w:firstLine="560" w:firstLineChars="200"/>
        <w:rPr>
          <w:rFonts w:hint="eastAsia" w:hAnsi="宋体"/>
          <w:sz w:val="28"/>
          <w:szCs w:val="28"/>
        </w:rPr>
      </w:pPr>
      <w:r>
        <w:rPr>
          <w:rFonts w:hint="eastAsia" w:hAnsi="宋体"/>
          <w:sz w:val="28"/>
          <w:szCs w:val="28"/>
        </w:rPr>
        <w:t>第十三条  本办法自颁布之日起执行。</w:t>
      </w:r>
    </w:p>
    <w:sectPr>
      <w:footerReference r:id="rId3" w:type="default"/>
      <w:footerReference r:id="rId4" w:type="even"/>
      <w:pgSz w:w="11906" w:h="16838"/>
      <w:pgMar w:top="1440" w:right="1080" w:bottom="1440" w:left="108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第%1章"/>
      <w:lvlJc w:val="left"/>
      <w:pPr>
        <w:tabs>
          <w:tab w:val="left" w:pos="1260"/>
        </w:tabs>
        <w:ind w:left="1260" w:hanging="12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37"/>
    <w:rsid w:val="000116D4"/>
    <w:rsid w:val="0001219F"/>
    <w:rsid w:val="000151AC"/>
    <w:rsid w:val="00024313"/>
    <w:rsid w:val="000304B5"/>
    <w:rsid w:val="00051C9A"/>
    <w:rsid w:val="00067A6E"/>
    <w:rsid w:val="000750B6"/>
    <w:rsid w:val="0008284C"/>
    <w:rsid w:val="000862B6"/>
    <w:rsid w:val="000A660F"/>
    <w:rsid w:val="000B311F"/>
    <w:rsid w:val="000B5A93"/>
    <w:rsid w:val="000C36C7"/>
    <w:rsid w:val="000E00F6"/>
    <w:rsid w:val="000E4FD4"/>
    <w:rsid w:val="00106E72"/>
    <w:rsid w:val="00110CCB"/>
    <w:rsid w:val="00124B77"/>
    <w:rsid w:val="00135A8D"/>
    <w:rsid w:val="00141696"/>
    <w:rsid w:val="001659AF"/>
    <w:rsid w:val="00167D88"/>
    <w:rsid w:val="00172A27"/>
    <w:rsid w:val="00172AD6"/>
    <w:rsid w:val="001D6528"/>
    <w:rsid w:val="001E3591"/>
    <w:rsid w:val="001E5789"/>
    <w:rsid w:val="00230813"/>
    <w:rsid w:val="00235884"/>
    <w:rsid w:val="002404FE"/>
    <w:rsid w:val="00245E64"/>
    <w:rsid w:val="00251ADA"/>
    <w:rsid w:val="00257009"/>
    <w:rsid w:val="00264888"/>
    <w:rsid w:val="00287320"/>
    <w:rsid w:val="00292F55"/>
    <w:rsid w:val="002964E7"/>
    <w:rsid w:val="002A37FE"/>
    <w:rsid w:val="002A4710"/>
    <w:rsid w:val="002C7D9E"/>
    <w:rsid w:val="002E714C"/>
    <w:rsid w:val="002F7C9D"/>
    <w:rsid w:val="003312A3"/>
    <w:rsid w:val="0033382B"/>
    <w:rsid w:val="00341EBB"/>
    <w:rsid w:val="00345E88"/>
    <w:rsid w:val="0034726B"/>
    <w:rsid w:val="00370DF0"/>
    <w:rsid w:val="003823F5"/>
    <w:rsid w:val="00397649"/>
    <w:rsid w:val="003B7389"/>
    <w:rsid w:val="003D101F"/>
    <w:rsid w:val="003F1436"/>
    <w:rsid w:val="003F473E"/>
    <w:rsid w:val="00413B55"/>
    <w:rsid w:val="00415C16"/>
    <w:rsid w:val="00463611"/>
    <w:rsid w:val="004756AF"/>
    <w:rsid w:val="00475FDC"/>
    <w:rsid w:val="004A323E"/>
    <w:rsid w:val="004C7AFD"/>
    <w:rsid w:val="004E2801"/>
    <w:rsid w:val="004E2B11"/>
    <w:rsid w:val="004E4A95"/>
    <w:rsid w:val="004E53C6"/>
    <w:rsid w:val="005220BD"/>
    <w:rsid w:val="00557E1E"/>
    <w:rsid w:val="00557E4C"/>
    <w:rsid w:val="0056562E"/>
    <w:rsid w:val="00581CFA"/>
    <w:rsid w:val="0059751F"/>
    <w:rsid w:val="005A6888"/>
    <w:rsid w:val="005B1095"/>
    <w:rsid w:val="005C0E6E"/>
    <w:rsid w:val="005D31DF"/>
    <w:rsid w:val="005F2C56"/>
    <w:rsid w:val="0060174F"/>
    <w:rsid w:val="00603457"/>
    <w:rsid w:val="006068FA"/>
    <w:rsid w:val="00611E5C"/>
    <w:rsid w:val="00653E0C"/>
    <w:rsid w:val="00662C14"/>
    <w:rsid w:val="00667CE2"/>
    <w:rsid w:val="00694DB2"/>
    <w:rsid w:val="006D5C80"/>
    <w:rsid w:val="006F295E"/>
    <w:rsid w:val="007108ED"/>
    <w:rsid w:val="00720988"/>
    <w:rsid w:val="00732D0D"/>
    <w:rsid w:val="00743A1E"/>
    <w:rsid w:val="007567CD"/>
    <w:rsid w:val="00772D08"/>
    <w:rsid w:val="007826F3"/>
    <w:rsid w:val="00787DC2"/>
    <w:rsid w:val="00794778"/>
    <w:rsid w:val="007A4512"/>
    <w:rsid w:val="007B03AC"/>
    <w:rsid w:val="007D55CA"/>
    <w:rsid w:val="007F314B"/>
    <w:rsid w:val="00832016"/>
    <w:rsid w:val="008362CA"/>
    <w:rsid w:val="0085618B"/>
    <w:rsid w:val="00897133"/>
    <w:rsid w:val="008A756E"/>
    <w:rsid w:val="008B6365"/>
    <w:rsid w:val="008C18B3"/>
    <w:rsid w:val="008C68C0"/>
    <w:rsid w:val="008D6E82"/>
    <w:rsid w:val="008E0B66"/>
    <w:rsid w:val="008E435B"/>
    <w:rsid w:val="008F2345"/>
    <w:rsid w:val="008F4CE2"/>
    <w:rsid w:val="008F58E6"/>
    <w:rsid w:val="009217B2"/>
    <w:rsid w:val="009676D1"/>
    <w:rsid w:val="00975CAA"/>
    <w:rsid w:val="00985203"/>
    <w:rsid w:val="00995B2E"/>
    <w:rsid w:val="009A6635"/>
    <w:rsid w:val="009A6C37"/>
    <w:rsid w:val="009B3005"/>
    <w:rsid w:val="009D7A05"/>
    <w:rsid w:val="009E496A"/>
    <w:rsid w:val="00A03646"/>
    <w:rsid w:val="00A046C1"/>
    <w:rsid w:val="00A249FA"/>
    <w:rsid w:val="00A27848"/>
    <w:rsid w:val="00A42DD5"/>
    <w:rsid w:val="00A476F3"/>
    <w:rsid w:val="00A64752"/>
    <w:rsid w:val="00A71805"/>
    <w:rsid w:val="00A73403"/>
    <w:rsid w:val="00A847F9"/>
    <w:rsid w:val="00A9355F"/>
    <w:rsid w:val="00A93DC4"/>
    <w:rsid w:val="00AD1658"/>
    <w:rsid w:val="00AD3B41"/>
    <w:rsid w:val="00AE722E"/>
    <w:rsid w:val="00AE7315"/>
    <w:rsid w:val="00B10047"/>
    <w:rsid w:val="00B17480"/>
    <w:rsid w:val="00B22594"/>
    <w:rsid w:val="00B26328"/>
    <w:rsid w:val="00B3486C"/>
    <w:rsid w:val="00B901BF"/>
    <w:rsid w:val="00B9549E"/>
    <w:rsid w:val="00BA304F"/>
    <w:rsid w:val="00BA3DE7"/>
    <w:rsid w:val="00BA5225"/>
    <w:rsid w:val="00BD598D"/>
    <w:rsid w:val="00BD69A7"/>
    <w:rsid w:val="00BF597C"/>
    <w:rsid w:val="00C02E8F"/>
    <w:rsid w:val="00C15886"/>
    <w:rsid w:val="00C27A0A"/>
    <w:rsid w:val="00C3675A"/>
    <w:rsid w:val="00C54DB5"/>
    <w:rsid w:val="00C640EA"/>
    <w:rsid w:val="00C67D0B"/>
    <w:rsid w:val="00C72DDD"/>
    <w:rsid w:val="00C76DAB"/>
    <w:rsid w:val="00C77283"/>
    <w:rsid w:val="00C916ED"/>
    <w:rsid w:val="00CB36D5"/>
    <w:rsid w:val="00CC5F54"/>
    <w:rsid w:val="00CD682D"/>
    <w:rsid w:val="00CE665D"/>
    <w:rsid w:val="00CE73F9"/>
    <w:rsid w:val="00CF39B8"/>
    <w:rsid w:val="00D109BA"/>
    <w:rsid w:val="00D13B19"/>
    <w:rsid w:val="00D16CD5"/>
    <w:rsid w:val="00D22ED5"/>
    <w:rsid w:val="00D3509F"/>
    <w:rsid w:val="00D367D3"/>
    <w:rsid w:val="00D97EF9"/>
    <w:rsid w:val="00DA0896"/>
    <w:rsid w:val="00DB5382"/>
    <w:rsid w:val="00DD44C9"/>
    <w:rsid w:val="00DE7FDA"/>
    <w:rsid w:val="00DF1E8E"/>
    <w:rsid w:val="00E001CF"/>
    <w:rsid w:val="00E14DBA"/>
    <w:rsid w:val="00E22F74"/>
    <w:rsid w:val="00E40329"/>
    <w:rsid w:val="00EA3D55"/>
    <w:rsid w:val="00EB0932"/>
    <w:rsid w:val="00EE6A6F"/>
    <w:rsid w:val="00F0588C"/>
    <w:rsid w:val="00F34130"/>
    <w:rsid w:val="00F3441B"/>
    <w:rsid w:val="00F7085B"/>
    <w:rsid w:val="00FA3FBC"/>
    <w:rsid w:val="00FC5A48"/>
    <w:rsid w:val="3B3B1948"/>
    <w:rsid w:val="53EC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Arial Unicode MS"/>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page number"/>
    <w:basedOn w:val="6"/>
    <w:uiPriority w:val="0"/>
  </w:style>
  <w:style w:type="character" w:customStyle="1" w:styleId="8">
    <w:name w:val="Char Char1"/>
    <w:uiPriority w:val="0"/>
    <w:rPr>
      <w:kern w:val="2"/>
      <w:sz w:val="18"/>
      <w:szCs w:val="18"/>
      <w:lang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134</Words>
  <Characters>770</Characters>
  <Lines>6</Lines>
  <Paragraphs>1</Paragraphs>
  <TotalTime>6</TotalTime>
  <ScaleCrop>false</ScaleCrop>
  <LinksUpToDate>false</LinksUpToDate>
  <CharactersWithSpaces>903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2017-10-19T06:19:00Z</dcterms:created>
  <dc:creator>yy</dc:creator>
  <cp:lastModifiedBy>王旭阳</cp:lastModifiedBy>
  <cp:lastPrinted>2021-10-21T06:36:00Z</cp:lastPrinted>
  <dcterms:modified xsi:type="dcterms:W3CDTF">2021-10-21T07:08:41Z</dcterms:modified>
  <dc:title>“国家高水平体育后备人才基地”认定办法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D012F81C348E403ABE4A3354894189A3</vt:lpwstr>
  </property>
</Properties>
</file>